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AF19F" w14:textId="46B9AFDA" w:rsidR="009F0834" w:rsidRPr="002108FA" w:rsidRDefault="009F0834" w:rsidP="00111D2C">
      <w:pPr>
        <w:pStyle w:val="Heading1"/>
        <w:tabs>
          <w:tab w:val="left" w:pos="2100"/>
        </w:tabs>
      </w:pPr>
      <w:r>
        <w:t>Σύστημα διαχείρισης τελωνειακών αποφάσεων – Πεδίο εφαρμογής και αρχιτεκτονική</w:t>
      </w:r>
    </w:p>
    <w:p w14:paraId="6B2F9426" w14:textId="56197F5F" w:rsidR="00DE2D7F" w:rsidRPr="002108FA" w:rsidRDefault="00A36CD1" w:rsidP="00A36CD1">
      <w:pPr>
        <w:pStyle w:val="Heading2"/>
      </w:pPr>
      <w:r>
        <w:t>Εισαγωγή</w:t>
      </w:r>
    </w:p>
    <w:p w14:paraId="0A6245A7" w14:textId="07CA13E8" w:rsidR="00085F1E" w:rsidRPr="002108FA" w:rsidRDefault="00085F1E" w:rsidP="00CF0C93">
      <w:r>
        <w:t>Για πρώτη φορά στη λειτουργία της Τελωνειακής Ένωσης, θεσπίζονται ενιαίες αποφάσεις σε επίπεδο ΕΕ (ήτοι, αποφάσεις που ισχύουν και αναγνωρίζονται σε όλα ή σε πολλά κράτη μέλη ταυτόχρονα).</w:t>
      </w:r>
    </w:p>
    <w:p w14:paraId="41CC6CFB" w14:textId="329C0E14" w:rsidR="00085F1E" w:rsidRPr="002108FA" w:rsidRDefault="00085F1E" w:rsidP="00CF0C93">
      <w:r>
        <w:t>Από τώρα και στο εξής, στόχος στον τομέα του εμπορίου είναι η χρήση ενιαίας προσέγγισης σε ολόκληρη την ΕΕ όσον αφορά τη διαδικασία υποβολής αιτήσεων και λήψης αποφάσεων, καθώς και μίας και μοναδικής πύλης για τους συναλλασσόμενους στην ΕΕ, για την πρόσβαση σε ένα διευρωπαϊκό σύστημα ΤΠ, το σύστημα ΤΠ τελωνειακών αποφάσεων («CDS»).</w:t>
      </w:r>
    </w:p>
    <w:p w14:paraId="1978412B" w14:textId="2C46206F" w:rsidR="00A36CD1" w:rsidRPr="002108FA" w:rsidRDefault="00A36CD1" w:rsidP="00A36CD1">
      <w:r>
        <w:t>Οι τελωνειακές αποφάσεις είναι αποφάσεις που λαμβάνονται από τις αρμόδιες τελωνειακές αρχές κατόπιν αιτήσεων που υποβάλλονται από τους οικονομικούς φορείς. Το φάσμα των πιθανών αποφάσεων είναι ευρύ και καλύπτει την αναστολή πληρωμής τελωνειακών δασμών, τη διοικητική απλούστευση, την τελωνειακή κατάταξη των εισαγόμενων προϊόντων κ.ά. Οι πληροφορίες που αφορούν τις τελωνειακές αποφάσεις χρησιμοποιούνται εν τέλει από τα συστήματα τελωνειακών διασαφήσεων, τα συστήματα συναλλαγών (ICS, NCTS, ECS), καθώς και από τα εθνικά συστήματα διαχείρισης τελωνειακών κινδύνων.</w:t>
      </w:r>
    </w:p>
    <w:p w14:paraId="5E8DE8CB" w14:textId="6498E9BE" w:rsidR="00A36CD1" w:rsidRPr="002108FA" w:rsidRDefault="00A36CD1" w:rsidP="00A36CD1">
      <w:r>
        <w:t>Στον ενωσιακό τελωνειακό κώδικα (ΕΤΚ), υποστηριζόμενο από τις κατ’ εξουσιοδότηση και εκτελεστικές πράξεις (UCC DA και UCC IA), θεσπίζεται η αρχή ότι κάθε επικοινωνία πρέπει να είναι ηλεκτρονική, ενώ οι έντυπες διαδικασίες προβλέπονται μόνο σε καθορισμένες, εξαιρετικές περιπτώσεις. Το σύστημα ΤΠ τελωνειακών αποφάσεων ενσωματώνει τη λεπτομερή εφαρμογή αυτής της αρχής με χρήση της ΤΠ.</w:t>
      </w:r>
    </w:p>
    <w:p w14:paraId="293F6503" w14:textId="4BA23EB5" w:rsidR="007E52B7" w:rsidRPr="002108FA" w:rsidRDefault="00941BBC" w:rsidP="00A36CD1">
      <w:r>
        <w:t xml:space="preserve">Με τον ΕΤΚ, παρέχεται επίσης η νομική βάση για τη διασφάλιση ενιαίας προσέγγισης όσον αφορά τις διαδικασίες που σχετίζονται με τις τελωνειακές αποφάσεις (από τα αρχικά αιτήματα ή αιτήσεις έως την τελική χορήγηση των αδειών) και τη διαχείριση και την αποθήκευση των τελωνειακών αποφάσεων σε ένα διευρωπαϊκό σύστημα ΤΠ. Το </w:t>
      </w:r>
      <w:r>
        <w:rPr>
          <w:b/>
        </w:rPr>
        <w:t>σύστημα ΤΠ τελωνειακών αποφάσεων</w:t>
      </w:r>
      <w:r>
        <w:t xml:space="preserve"> είναι ένα υβριδικό σύστημα, που αποτελείται από ένα κεντρικό σύστημα ΤΠ και προαιρετικά εθνικά συστήματα ΤΠ. Το κεντρικό σύστημα ΤΠ δίνει τη δυνατότητα στα κράτη μέλη που δεν διαθέτουν εθνικά συστήματα να ενσωματώνουν όλες τις αιτήσεις τελωνειακών αποφάσεων και τις σχετικές άδειες σε ηλεκτρονική μορφή, σε ένα ενιαίο αποθετήριο που είναι προσβάσιμο από όλα τα κράτη μέλη. Τα κράτη μέλη που εφαρμόζουν εθνικά συστήματα δημοσιεύουν στο κεντρικό σύστημα ΤΠ πληροφορίες κατάστασης για τις αιτήσεις και άδειες που διεκπεραιώνονται στα οικεία εθνικά συστήματα ΤΠ, εξασφαλίζοντας με αυτόν τον τρόπο κεντρική παρακολούθηση του συνόλου της δραστηριότητας που αφορά τελωνειακές αποφάσεις στην ΕΕ.</w:t>
      </w:r>
    </w:p>
    <w:p w14:paraId="7CF2C354" w14:textId="2E6EE099" w:rsidR="008258F0" w:rsidRPr="002108FA" w:rsidRDefault="008258F0" w:rsidP="00A36CD1">
      <w:r>
        <w:t xml:space="preserve">Το κεντρικό σύστημα ΤΠ —το </w:t>
      </w:r>
      <w:r>
        <w:rPr>
          <w:b/>
        </w:rPr>
        <w:t>κεντρικό σύστημα διαχείρισης τελωνειακών αποφάσεων (CDMS)</w:t>
      </w:r>
      <w:r>
        <w:t xml:space="preserve">— περιλαμβάνει μια ενότητα επικοινωνίας που δίνει τη δυνατότητα διαβούλευσης με διάφορα κράτη μέλη, επιτρέποντας με αυτόν τον τρόπο την επικοινωνία μεταξύ του κεντρικού συστήματος και ενός ή περισσότερων εθνικών συστημάτων. </w:t>
      </w:r>
    </w:p>
    <w:p w14:paraId="69C5CC4B" w14:textId="0EB9CF4D" w:rsidR="00741F3B" w:rsidRPr="002108FA" w:rsidRDefault="008258F0" w:rsidP="00741F3B">
      <w:r>
        <w:t>Όλες οι ληφθείσες αποφάσεις (και τυχόν αλλαγές στην κατάστασή τους) διατίθενται στο στοιχείο CRS του κεντρικού συστήματος ΤΠ.</w:t>
      </w:r>
    </w:p>
    <w:p w14:paraId="7D80635A" w14:textId="44A5BEF9" w:rsidR="00741F3B" w:rsidRPr="002108FA" w:rsidRDefault="00741F3B" w:rsidP="00741F3B">
      <w:r>
        <w:t xml:space="preserve">Το αποθετήριο </w:t>
      </w:r>
      <w:r>
        <w:rPr>
          <w:b/>
        </w:rPr>
        <w:t>τελωνειακών</w:t>
      </w:r>
      <w:r>
        <w:t xml:space="preserve"> </w:t>
      </w:r>
      <w:r>
        <w:rPr>
          <w:b/>
        </w:rPr>
        <w:t>υπηρεσιών αναφοράς πελατών (CRS)</w:t>
      </w:r>
      <w:r>
        <w:t xml:space="preserve"> αποθηκεύει όλες τις ληφθείσες αποφάσεις. Το αποθετήριο παρέχει ενιαία βάση δεδομένων στην ΕΕ που αποθηκεύει όλες τις άδειες που χορηγούνται στην ΕΕ. Το κεντρικό και τα εθνικά συστήματα τελωνειακών αποφάσεων (CDS) πρέπει να χρησιμοποιούν το αποθετήριο για να αποθηκεύουν όλες τις ληφθείσες αποφάσεις.</w:t>
      </w:r>
    </w:p>
    <w:p w14:paraId="1C8E9CF0" w14:textId="4FFADD32" w:rsidR="00F24B18" w:rsidRPr="002108FA" w:rsidRDefault="00146CA4" w:rsidP="00F24B18">
      <w:r>
        <w:t xml:space="preserve">Το σύστημα ΤΠ τελωνειακών αποφάσεων υποστηρίζεται από μια </w:t>
      </w:r>
      <w:r>
        <w:rPr>
          <w:b/>
        </w:rPr>
        <w:t>πύλη για τους συναλλασσόμενους της ΕΕ (TP)</w:t>
      </w:r>
      <w:r>
        <w:t xml:space="preserve">, η οποία συνιστά το σημείο επαφής για τους συναλλασσόμενους και τους αντιπροσώπους τους (όπως ορίζεται στο άρθρο 10 του εκτελεστικού κανονισμού). Η εν λόγω </w:t>
      </w:r>
      <w:r>
        <w:lastRenderedPageBreak/>
        <w:t>πύλη παρέχει πρόσβαση σε όλους τους Ευρωπαίους συναλλασσόμενους (πάνω από 3.000.000 επιχειρήσεις) που χρειάζονται τελωνειακή απόφαση για τις δραστηριότητές τους εντός ΕΕ. Μέσω αυτής της πύλης, οι οικονομικοί φορείς δύνανται να υποβάλλουν αιτήσεις, να παρακολουθούν την κατάσταση της αίτησής τους, να διενεργούν οποιαδήποτε ακόλουθη ενέργεια (π.χ. τροποποίηση), να έχουν στη διάθεσή τους μια επισκόπηση των αποφάσεων που χορηγήθηκαν ή των αποφάσεων που βρίσκονται σε διαδικασία διεκπεραίωσης και να διαχειρίζονται τις χορηγηθείσες αποφάσεις τους.</w:t>
      </w:r>
    </w:p>
    <w:p w14:paraId="3E75EBCF" w14:textId="4499647E" w:rsidR="002A5981" w:rsidRPr="002108FA" w:rsidRDefault="001A083B" w:rsidP="00741F3B">
      <w:r>
        <w:t>Στην ενότητα </w:t>
      </w:r>
      <w:r>
        <w:fldChar w:fldCharType="begin"/>
      </w:r>
      <w:r>
        <w:instrText xml:space="preserve"> REF _Ref483830938 \r \h </w:instrText>
      </w:r>
      <w:r>
        <w:fldChar w:fldCharType="separate"/>
      </w:r>
      <w:r>
        <w:t>1.7</w:t>
      </w:r>
      <w:r>
        <w:fldChar w:fldCharType="end"/>
      </w:r>
      <w:r>
        <w:t xml:space="preserve"> παρουσιάζεται λεπτομερέστερη περιγραφή των διαφόρων στοιχείων, συμπεριλαμβανομένων των σχέσεων που τις συνδέουν.</w:t>
      </w:r>
    </w:p>
    <w:p w14:paraId="3D8F8D6D" w14:textId="4CFF082E" w:rsidR="00085F1E" w:rsidRPr="002108FA" w:rsidRDefault="00085F1E" w:rsidP="001A083B">
      <w:pPr>
        <w:pStyle w:val="Heading3"/>
      </w:pPr>
      <w:r>
        <w:t>Νομικά κείμενα αναφοράς</w:t>
      </w:r>
    </w:p>
    <w:p w14:paraId="47316511" w14:textId="17A1967B" w:rsidR="00085F1E" w:rsidRPr="002108FA" w:rsidRDefault="00085F1E" w:rsidP="00315103">
      <w:pPr>
        <w:rPr>
          <w:b/>
        </w:rPr>
      </w:pPr>
      <w:r>
        <w:rPr>
          <w:b/>
        </w:rPr>
        <w:t>Ενωσιακός τελωνειακός κώδικας (άρθρα 6, 16, 22, 23 του ΕΤΚ)</w:t>
      </w:r>
    </w:p>
    <w:p w14:paraId="2EE7390F" w14:textId="0B88C71F" w:rsidR="00085F1E" w:rsidRPr="002108FA" w:rsidRDefault="00085F1E" w:rsidP="00315103">
      <w:r>
        <w:t>Ο ενωσιακός τελωνειακός κώδικας (ΕΤΚ) εκδόθηκε στις 9 Οκτωβρίου 2013 ως κανονισμός (ΕΕ) αριθ. 952/2013 του Ευρωπαϊκού Κοινοβουλίου και του Συμβουλίου.</w:t>
      </w:r>
    </w:p>
    <w:p w14:paraId="7784B256" w14:textId="30305EF6" w:rsidR="00085F1E" w:rsidRPr="002108FA" w:rsidRDefault="00085F1E" w:rsidP="003A5386">
      <w:pPr>
        <w:rPr>
          <w:b/>
        </w:rPr>
      </w:pPr>
      <w:r>
        <w:rPr>
          <w:b/>
        </w:rPr>
        <w:t>Κατ’ εξουσιοδότηση πράξη του ΕΤΚ (άρθρα 11-18 της κατ’ εξουσιοδότηση πράξης, παράρτημα Α)</w:t>
      </w:r>
    </w:p>
    <w:p w14:paraId="6804DDD5" w14:textId="35D30A8D" w:rsidR="00085F1E" w:rsidRPr="002108FA" w:rsidRDefault="00085F1E" w:rsidP="00315103">
      <w:r>
        <w:t>Η κατ’ εξουσιοδότηση πράξη του ΕΤΚ εκδόθηκε στις 28 Ιουλίου 2015 ως κατ’ εξουσιοδότηση κανονισμός (ΕΕ) 2015/2446 της Επιτροπής.</w:t>
      </w:r>
    </w:p>
    <w:p w14:paraId="1DBF1749" w14:textId="28898BF2" w:rsidR="00085F1E" w:rsidRPr="002108FA" w:rsidRDefault="00085F1E" w:rsidP="00315103">
      <w:pPr>
        <w:rPr>
          <w:b/>
        </w:rPr>
      </w:pPr>
      <w:r>
        <w:rPr>
          <w:b/>
        </w:rPr>
        <w:t>Εκτελεστική πράξη του ΕΤΚ (άρθρο 10 της εκτελεστικής πράξης, παράρτημα Α)</w:t>
      </w:r>
    </w:p>
    <w:p w14:paraId="11661B9E" w14:textId="6F043256" w:rsidR="00085F1E" w:rsidRPr="002108FA" w:rsidRDefault="00085F1E" w:rsidP="00315103">
      <w:r>
        <w:t>Η εκτελεστική πράξη του ΕΤΚ εκδόθηκε στις 24 Νοεμβρίου 2015 ως εκτελεστικός κανονισμός (ΕΕ) 2015/2447 της Επιτροπής.</w:t>
      </w:r>
    </w:p>
    <w:p w14:paraId="0550F6E9" w14:textId="68EE3BB1" w:rsidR="009646A7" w:rsidRPr="002108FA" w:rsidRDefault="009646A7" w:rsidP="00315103">
      <w:pPr>
        <w:rPr>
          <w:b/>
        </w:rPr>
      </w:pPr>
      <w:r>
        <w:rPr>
          <w:b/>
        </w:rPr>
        <w:t>Πρόγραμμα εργασιών του ΕΤΚ</w:t>
      </w:r>
    </w:p>
    <w:p w14:paraId="3350D20B" w14:textId="66E017D5" w:rsidR="00F517C6" w:rsidRPr="002108FA" w:rsidRDefault="00F517C6" w:rsidP="00F517C6">
      <w:r>
        <w:t>Το πρόγραμμα εργασιών σχετικά με την ανάπτυξη και εγκατάσταση των ηλεκτρονικών συστημάτων που προβλέπεται στον ΕΤΚ εγκρίθηκε στις 11 Απριλίου 2016 με την απόφαση 2016/578/ΕΕ της Επιτροπής.</w:t>
      </w:r>
    </w:p>
    <w:p w14:paraId="24E08BFD" w14:textId="77777777" w:rsidR="00AF7FAF" w:rsidRPr="00DD3BB0" w:rsidRDefault="00AF7FAF" w:rsidP="00315103">
      <w:pPr>
        <w:rPr>
          <w:b/>
        </w:rPr>
      </w:pPr>
    </w:p>
    <w:p w14:paraId="1AE4412F" w14:textId="03FD30A0" w:rsidR="00D52419" w:rsidRPr="002108FA" w:rsidRDefault="00D52419" w:rsidP="001A083B">
      <w:pPr>
        <w:pStyle w:val="Heading3"/>
      </w:pPr>
      <w:r>
        <w:t>Περιγραφή πλαισίου</w:t>
      </w:r>
    </w:p>
    <w:p w14:paraId="41A57819" w14:textId="47B88A9C" w:rsidR="00D52419" w:rsidRPr="002108FA" w:rsidRDefault="00D52419" w:rsidP="00315103">
      <w:r>
        <w:t>Γενικές πληροφορίες σχετικά με τον ενωσιακό τελωνειακό κώδικα διατίθενται στον ιστότοπο Europa:</w:t>
      </w:r>
    </w:p>
    <w:p w14:paraId="462611A8" w14:textId="4AC7748C" w:rsidR="00D52419" w:rsidRPr="002108FA" w:rsidRDefault="00C2790F" w:rsidP="00315103">
      <w:hyperlink r:id="rId12">
        <w:r w:rsidR="005B70F8">
          <w:rPr>
            <w:rStyle w:val="Hyperlink"/>
          </w:rPr>
          <w:t>https://ec.europa.eu/taxation_customs/business/union-customs-code_en</w:t>
        </w:r>
      </w:hyperlink>
      <w:r w:rsidR="005B70F8">
        <w:t xml:space="preserve"> </w:t>
      </w:r>
    </w:p>
    <w:p w14:paraId="783EFB9B" w14:textId="3E17E632" w:rsidR="00D52419" w:rsidRPr="002108FA" w:rsidRDefault="00C1768F" w:rsidP="00315103">
      <w:r>
        <w:t xml:space="preserve">Όπως φαίνεται στο </w:t>
      </w:r>
      <w:r>
        <w:fldChar w:fldCharType="begin"/>
      </w:r>
      <w:r>
        <w:instrText xml:space="preserve"> REF _Ref484086542 \h </w:instrText>
      </w:r>
      <w:r>
        <w:fldChar w:fldCharType="separate"/>
      </w:r>
      <w:r w:rsidR="00B66BEF">
        <w:t>Σχήμα</w:t>
      </w:r>
      <w:r>
        <w:t xml:space="preserve"> </w:t>
      </w:r>
      <w:r>
        <w:rPr>
          <w:noProof/>
        </w:rPr>
        <w:t>1</w:t>
      </w:r>
      <w:r>
        <w:fldChar w:fldCharType="end"/>
      </w:r>
      <w:r>
        <w:t xml:space="preserve">, αυτή η σελίδα παρέχει ορισμένες πληροφορίες σχετικά με τον ΕΤΚ με τη μορφή: </w:t>
      </w:r>
    </w:p>
    <w:p w14:paraId="23476431" w14:textId="49100ED5" w:rsidR="00D52419" w:rsidRPr="002108FA" w:rsidRDefault="005F5FEF" w:rsidP="00CF0C93">
      <w:pPr>
        <w:numPr>
          <w:ilvl w:val="0"/>
          <w:numId w:val="47"/>
        </w:numPr>
        <w:ind w:left="568" w:hanging="284"/>
      </w:pPr>
      <w:r>
        <w:t>ερωτήσεων και απαντήσεων·</w:t>
      </w:r>
    </w:p>
    <w:p w14:paraId="09529035" w14:textId="5F21A706" w:rsidR="00D52419" w:rsidRPr="002108FA" w:rsidRDefault="00D52419" w:rsidP="00CF0C93">
      <w:pPr>
        <w:numPr>
          <w:ilvl w:val="0"/>
          <w:numId w:val="47"/>
        </w:numPr>
        <w:ind w:left="568" w:hanging="284"/>
      </w:pPr>
      <w:r>
        <w:t>εγγράφων καθοδήγησης·</w:t>
      </w:r>
    </w:p>
    <w:p w14:paraId="67FB85A2" w14:textId="0FFE4C34" w:rsidR="00D52419" w:rsidRPr="002108FA" w:rsidRDefault="00D52419" w:rsidP="00CF0C93">
      <w:pPr>
        <w:numPr>
          <w:ilvl w:val="0"/>
          <w:numId w:val="47"/>
        </w:numPr>
        <w:ind w:left="568" w:hanging="284"/>
      </w:pPr>
      <w:r>
        <w:t>τελωνειακού BPM της ΕΕ.</w:t>
      </w:r>
    </w:p>
    <w:p w14:paraId="14CC4460" w14:textId="67F0B955" w:rsidR="00C1768F" w:rsidRPr="00DE58D4" w:rsidRDefault="00C1768F" w:rsidP="00315103">
      <w:pPr>
        <w:keepNext/>
        <w:ind w:left="539"/>
      </w:pPr>
      <w:r>
        <w:rPr>
          <w:noProof/>
          <w:lang w:val="en-GB" w:eastAsia="en-GB" w:bidi="ar-SA"/>
        </w:rPr>
        <w:lastRenderedPageBreak/>
        <w:drawing>
          <wp:inline distT="0" distB="0" distL="0" distR="0" wp14:anchorId="7E5479BE" wp14:editId="17003B95">
            <wp:extent cx="5275580" cy="4761230"/>
            <wp:effectExtent l="0" t="0" r="1270" b="1270"/>
            <wp:docPr id="163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b="21020"/>
                    <a:stretch/>
                  </pic:blipFill>
                  <pic:spPr bwMode="auto">
                    <a:xfrm>
                      <a:off x="0" y="0"/>
                      <a:ext cx="5275580" cy="4761230"/>
                    </a:xfrm>
                    <a:prstGeom prst="rect">
                      <a:avLst/>
                    </a:prstGeom>
                    <a:noFill/>
                    <a:ln>
                      <a:noFill/>
                    </a:ln>
                    <a:extLst/>
                  </pic:spPr>
                </pic:pic>
              </a:graphicData>
            </a:graphic>
          </wp:inline>
        </w:drawing>
      </w:r>
    </w:p>
    <w:p w14:paraId="29BE13D9" w14:textId="3A548787" w:rsidR="00D52419" w:rsidRPr="002108FA" w:rsidRDefault="00C1768F" w:rsidP="00315103">
      <w:pPr>
        <w:pStyle w:val="Caption"/>
      </w:pPr>
      <w:bookmarkStart w:id="0" w:name="_Ref484086542"/>
      <w:r>
        <w:t>Σχήμα </w:t>
      </w:r>
      <w:fldSimple w:instr=" SEQ Figure \* ARABIC ">
        <w:r>
          <w:rPr>
            <w:noProof/>
          </w:rPr>
          <w:t>1</w:t>
        </w:r>
      </w:fldSimple>
      <w:bookmarkEnd w:id="0"/>
      <w:r>
        <w:t xml:space="preserve"> - Ειδικός ιστότοπος για τον ΕΤΚ – Αρχική σελίδα</w:t>
      </w:r>
    </w:p>
    <w:p w14:paraId="08ECDA7F" w14:textId="0186EA3F" w:rsidR="00D52419" w:rsidRPr="002108FA" w:rsidRDefault="00D52419" w:rsidP="001A083B">
      <w:pPr>
        <w:pStyle w:val="Heading3"/>
      </w:pPr>
      <w:bookmarkStart w:id="1" w:name="_Ref484095787"/>
      <w:r>
        <w:t>Τελωνειακό BPM της ΕΕ</w:t>
      </w:r>
      <w:bookmarkEnd w:id="1"/>
    </w:p>
    <w:p w14:paraId="559B68B0" w14:textId="026DDA7D" w:rsidR="00D52419" w:rsidRPr="002108FA" w:rsidRDefault="00C1768F" w:rsidP="001A083B">
      <w:pPr>
        <w:ind w:left="180"/>
      </w:pPr>
      <w:r>
        <w:t>Οι επιχειρησιακές διεργασίες που προβλέπονται στον ΕΤΚ, καθώς και στην οικεία κατ’ εξουσιοδότηση πράξη και εκτελεστική πράξη (DA και IA αντίστοιχα) έχουν μοντελοποιηθεί. Μια τελική έκδοση των υψηλού επιπέδου και επιχειρησιακών απαιτήσεων («High Level and Business Requirements») είναι διαθέσιμη για μελέτη και ενημέρωση. Η πρόσβαση στην έκδοση του BPM μπορεί να πραγματοποιηθεί απευθείας από τον παρακάτω σύνδεσμο:</w:t>
      </w:r>
    </w:p>
    <w:p w14:paraId="460BFE54" w14:textId="3690F714" w:rsidR="00D52419" w:rsidRPr="002108FA" w:rsidRDefault="00C2790F" w:rsidP="001A083B">
      <w:pPr>
        <w:ind w:left="180"/>
      </w:pPr>
      <w:hyperlink r:id="rId14">
        <w:r w:rsidR="005B70F8">
          <w:rPr>
            <w:rStyle w:val="Hyperlink"/>
          </w:rPr>
          <w:t>https://itsmtaxud.europa.eu/businesspublisher/login.do?login=anonymous&amp;password=anonymous</w:t>
        </w:r>
      </w:hyperlink>
    </w:p>
    <w:p w14:paraId="5528C6EA" w14:textId="5CD30CF4" w:rsidR="00D52419" w:rsidRPr="002108FA" w:rsidRDefault="00D52419" w:rsidP="001A083B">
      <w:pPr>
        <w:ind w:left="180"/>
      </w:pPr>
      <w:r>
        <w:t>Σε αυτήν την πλατφόρμα, η διαδρομή για την πρόσβαση στα BPM που αφορούν τη διαχείριση αδειών/αποφάσεων είναι η ακόλουθη:</w:t>
      </w:r>
    </w:p>
    <w:p w14:paraId="010CB2A0" w14:textId="59C1A4C7" w:rsidR="00D52419" w:rsidRPr="00B66BEF" w:rsidRDefault="00D52419" w:rsidP="00D52419">
      <w:pPr>
        <w:ind w:left="180"/>
        <w:rPr>
          <w:lang w:val="en-GB"/>
        </w:rPr>
      </w:pPr>
      <w:r w:rsidRPr="00B66BEF">
        <w:rPr>
          <w:lang w:val="en-GB"/>
        </w:rPr>
        <w:t>Taxud Folder Structure &gt; EU_Customs &gt; Customs Business Processes &gt; 02_CBP L2-L3 HL and Business Requirement BPM &gt; Enabling Business Domains &gt; Authorisations / Decisions Management.</w:t>
      </w:r>
    </w:p>
    <w:p w14:paraId="74DB46DF" w14:textId="3354B487" w:rsidR="00C1768F" w:rsidRPr="002108FA" w:rsidRDefault="00C1768F" w:rsidP="00D52419">
      <w:pPr>
        <w:ind w:left="180"/>
      </w:pPr>
      <w:r>
        <w:t xml:space="preserve">Το δέντρο πλοήγησης απεικονίζεται στο </w:t>
      </w:r>
      <w:r>
        <w:fldChar w:fldCharType="begin"/>
      </w:r>
      <w:r>
        <w:instrText xml:space="preserve"> REF _Ref484086517 \h </w:instrText>
      </w:r>
      <w:r>
        <w:fldChar w:fldCharType="separate"/>
      </w:r>
      <w:r w:rsidR="00B66BEF">
        <w:t>Σχήμα</w:t>
      </w:r>
      <w:r>
        <w:t xml:space="preserve"> </w:t>
      </w:r>
      <w:r>
        <w:rPr>
          <w:noProof/>
        </w:rPr>
        <w:t>2</w:t>
      </w:r>
      <w:r>
        <w:fldChar w:fldCharType="end"/>
      </w:r>
      <w:r>
        <w:t>.</w:t>
      </w:r>
    </w:p>
    <w:p w14:paraId="1BC0EA45" w14:textId="77777777" w:rsidR="00C1768F" w:rsidRPr="002108FA" w:rsidRDefault="00D52419" w:rsidP="00315103">
      <w:pPr>
        <w:keepNext/>
        <w:jc w:val="center"/>
      </w:pPr>
      <w:r>
        <w:rPr>
          <w:noProof/>
          <w:lang w:val="en-GB" w:eastAsia="en-GB" w:bidi="ar-SA"/>
        </w:rPr>
        <w:lastRenderedPageBreak/>
        <w:drawing>
          <wp:inline distT="0" distB="0" distL="0" distR="0" wp14:anchorId="27A9D67D" wp14:editId="399648C3">
            <wp:extent cx="4380371" cy="3600000"/>
            <wp:effectExtent l="0" t="0" r="1270" b="635"/>
            <wp:docPr id="194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8"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0371" cy="36000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41A9B88A" w14:textId="78F043DF" w:rsidR="00D52419" w:rsidRPr="002108FA" w:rsidRDefault="00C1768F" w:rsidP="00315103">
      <w:pPr>
        <w:pStyle w:val="Caption"/>
      </w:pPr>
      <w:bookmarkStart w:id="2" w:name="_Ref484086517"/>
      <w:bookmarkStart w:id="3" w:name="_Ref484086512"/>
      <w:r>
        <w:t>Σχήμα </w:t>
      </w:r>
      <w:fldSimple w:instr=" SEQ Figure \* ARABIC ">
        <w:r>
          <w:rPr>
            <w:noProof/>
          </w:rPr>
          <w:t>2</w:t>
        </w:r>
      </w:fldSimple>
      <w:bookmarkEnd w:id="2"/>
      <w:r>
        <w:t xml:space="preserve"> – Δέντρο πλοήγησης για τη διαχείριση αδειών/αποφάσεων (Authorisations / Decisions Management)</w:t>
      </w:r>
      <w:bookmarkEnd w:id="3"/>
    </w:p>
    <w:p w14:paraId="52A70A36" w14:textId="334047EB" w:rsidR="00E9189D" w:rsidRPr="002108FA" w:rsidRDefault="00E9189D">
      <w:pPr>
        <w:pStyle w:val="Heading2"/>
      </w:pPr>
      <w:bookmarkStart w:id="4" w:name="_Ref483819466"/>
      <w:r>
        <w:t>Πλεονεκτήματα του CDS</w:t>
      </w:r>
    </w:p>
    <w:p w14:paraId="0E2AC2DC" w14:textId="77777777" w:rsidR="00F018F8" w:rsidRPr="002108FA" w:rsidRDefault="00F018F8" w:rsidP="00F018F8">
      <w:r>
        <w:t xml:space="preserve">Η χρήση του συστήματος τελωνειακών αποφάσεων έχει διάφορα πλεονεκτήματα. </w:t>
      </w:r>
    </w:p>
    <w:p w14:paraId="198227CC" w14:textId="77777777" w:rsidR="00F018F8" w:rsidRPr="002108FA" w:rsidRDefault="00F018F8" w:rsidP="00F018F8">
      <w:r>
        <w:t>Πρώτον, χρησιμοποιείται μόνο ένα διευρωπαϊκό σύστημα (CDS) για τη διαχείριση των 22 αιτήσεων/αδειών. Αυτό απλουστεύει σε μεγάλο βαθμό τη διαχείριση αιτήσεων/αδειών και δίνει τη δυνατότητα σε όλες τις τελωνειακές αρχές να «ενεργούν ως ενιαία αρχή».</w:t>
      </w:r>
    </w:p>
    <w:p w14:paraId="313D8797" w14:textId="6CD834A4" w:rsidR="00F018F8" w:rsidRPr="002108FA" w:rsidRDefault="00F018F8" w:rsidP="00F018F8">
      <w:r>
        <w:t>Ένα άλλο πλεονέκτημα αφορά την εναρμόνιση των διαδικασιών διαχείρισης των αιτήσεων/αδειών και των απαιτήσεων δεδομένων. Οι εν λόγω εναρμονισμένες διαδικασίες καθορίζονται στο τελωνειακό BPM της ΕΕ.</w:t>
      </w:r>
    </w:p>
    <w:p w14:paraId="20877477" w14:textId="2727565D" w:rsidR="00F018F8" w:rsidRPr="002108FA" w:rsidRDefault="00F018F8" w:rsidP="00F018F8">
      <w:r>
        <w:t>Τέλος, η χρήση του μοναδικού συστήματος της πύλης συναλλασσόμενων της ΕΕ (όπως ορίζεται στο άρθρο 10 της εκτελεστικής πράξης) για την ταυτοποίηση και πρόσβαση των οικονομικών φορέων (UUM&amp;DS) οδηγεί στη βελτίωση της αποδοτικότητας για τους οικονομικούς φορείς όσον αφορά την αλληλεπίδρασή τους με τις τελωνειακές αρχές.</w:t>
      </w:r>
    </w:p>
    <w:p w14:paraId="19C71D06" w14:textId="2FFCB95C" w:rsidR="00833CA8" w:rsidRPr="002108FA" w:rsidRDefault="00C661B4">
      <w:pPr>
        <w:pStyle w:val="Heading2"/>
      </w:pPr>
      <w:r>
        <w:t>Σχεδιασμός</w:t>
      </w:r>
    </w:p>
    <w:p w14:paraId="4B73AE90" w14:textId="49ED4F73" w:rsidR="00C661B4" w:rsidRPr="00F53A0E" w:rsidRDefault="00C661B4" w:rsidP="00F53A0E">
      <w:r>
        <w:t>Το νέο σύστημα τελωνειακών αποφάσεων τέθηκε σε λειτουργία στις 2 Οκτωβρίου 2017. Από τότε και εφεξής, κάθε είδους ανταλλαγή πληροφοριών, όπως αιτήσεων ή αδειών, πραγματοποιείται με τη χρησιμοποίηση του συστήματος τελωνειακών αποφάσεων (άρθρο 6 παράγραφος 1 του ΕΤΚ). Συνεπώς, δεν διεκπεραιώνονται πλέον έντυπες αιτήσεις.</w:t>
      </w:r>
    </w:p>
    <w:p w14:paraId="70334223" w14:textId="7DE27948" w:rsidR="00755BCF" w:rsidRPr="00F53A0E" w:rsidRDefault="00755BCF" w:rsidP="00F53A0E">
      <w:r>
        <w:t>Από τις 2 Οκτωβρίου 2017 έως την 1η Μαΐου 2019, όλες οι υφιστάμενες άδειες (έντυπες) θα πρέπει να επανεξεταστούν προκειμένου να εισαχθούν στο νέο σύστημα.</w:t>
      </w:r>
    </w:p>
    <w:p w14:paraId="392546EE" w14:textId="5452BF12" w:rsidR="00755BCF" w:rsidRPr="00F53A0E" w:rsidRDefault="00755BCF" w:rsidP="00F53A0E">
      <w:r>
        <w:t>Επίσης, από τις 2 Οκτωβρίου 2017, η υφιστάμενη εφαρμογή ΤΠ για RSS καταργείται σταδιακά προκειμένου να αντικατασταθεί από το νέο σύστημα τελωνειακών αποφάσεων.</w:t>
      </w:r>
    </w:p>
    <w:p w14:paraId="4A51A39B" w14:textId="78BCF318" w:rsidR="00DD773C" w:rsidRPr="00F53A0E" w:rsidRDefault="00F53A0E" w:rsidP="00F53A0E">
      <w:r>
        <w:t xml:space="preserve">Στο </w:t>
      </w:r>
      <w:r>
        <w:fldChar w:fldCharType="begin"/>
      </w:r>
      <w:r>
        <w:instrText xml:space="preserve"> REF _Ref487446039 \h </w:instrText>
      </w:r>
      <w:r>
        <w:fldChar w:fldCharType="separate"/>
      </w:r>
      <w:r w:rsidR="00B66BEF">
        <w:t>Σχήμα</w:t>
      </w:r>
      <w:r>
        <w:t xml:space="preserve"> </w:t>
      </w:r>
      <w:r>
        <w:rPr>
          <w:noProof/>
        </w:rPr>
        <w:t>3</w:t>
      </w:r>
      <w:r>
        <w:fldChar w:fldCharType="end"/>
      </w:r>
      <w:r>
        <w:t xml:space="preserve"> απεικονίζεται το χρονοδιάγραμμα των εν λόγω ενεργειών.</w:t>
      </w:r>
    </w:p>
    <w:p w14:paraId="378D5CA0" w14:textId="793AA2F9" w:rsidR="00DD773C" w:rsidRPr="002108FA" w:rsidRDefault="00B66BEF" w:rsidP="00F53A0E">
      <w:pPr>
        <w:keepNext/>
        <w:jc w:val="center"/>
      </w:pPr>
      <w:r w:rsidRPr="00104B1A">
        <w:rPr>
          <w:noProof/>
          <w:lang w:val="en-GB" w:eastAsia="en-GB" w:bidi="ar-SA"/>
        </w:rPr>
        <w:drawing>
          <wp:inline distT="0" distB="0" distL="0" distR="0" wp14:anchorId="20819993" wp14:editId="6AEF4BC5">
            <wp:extent cx="5760720" cy="361696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3616960"/>
                    </a:xfrm>
                    <a:prstGeom prst="rect">
                      <a:avLst/>
                    </a:prstGeom>
                    <a:noFill/>
                    <a:ln>
                      <a:noFill/>
                    </a:ln>
                  </pic:spPr>
                </pic:pic>
              </a:graphicData>
            </a:graphic>
          </wp:inline>
        </w:drawing>
      </w:r>
    </w:p>
    <w:p w14:paraId="0967EAF2" w14:textId="479784F9" w:rsidR="00755BCF" w:rsidRPr="00F53A0E" w:rsidRDefault="00DD773C" w:rsidP="00F53A0E">
      <w:pPr>
        <w:pStyle w:val="Caption"/>
      </w:pPr>
      <w:bookmarkStart w:id="5" w:name="_Ref487446039"/>
      <w:bookmarkStart w:id="6" w:name="_Ref487446034"/>
      <w:r>
        <w:t>Σχήμα </w:t>
      </w:r>
      <w:r>
        <w:rPr>
          <w:noProof/>
        </w:rPr>
        <w:fldChar w:fldCharType="begin"/>
      </w:r>
      <w:r>
        <w:rPr>
          <w:noProof/>
        </w:rPr>
        <w:instrText xml:space="preserve"> SEQ Figure \* ARABIC </w:instrText>
      </w:r>
      <w:r>
        <w:rPr>
          <w:noProof/>
        </w:rPr>
        <w:fldChar w:fldCharType="separate"/>
      </w:r>
      <w:r>
        <w:rPr>
          <w:noProof/>
        </w:rPr>
        <w:t>3</w:t>
      </w:r>
      <w:r>
        <w:rPr>
          <w:noProof/>
        </w:rPr>
        <w:fldChar w:fldCharType="end"/>
      </w:r>
      <w:bookmarkEnd w:id="5"/>
      <w:r>
        <w:t xml:space="preserve"> – Χρονοδιάγραμμα ενεργειών</w:t>
      </w:r>
      <w:bookmarkEnd w:id="6"/>
    </w:p>
    <w:p w14:paraId="72508747" w14:textId="413D5596" w:rsidR="00F84125" w:rsidRPr="00F53A0E" w:rsidRDefault="00AC7862" w:rsidP="00F53A0E">
      <w:pPr>
        <w:pStyle w:val="Heading2"/>
      </w:pPr>
      <w:r>
        <w:t>Πεδίο εφαρμογής</w:t>
      </w:r>
    </w:p>
    <w:p w14:paraId="6161EFA8" w14:textId="78AAD8A2" w:rsidR="00F84125" w:rsidRPr="002108FA" w:rsidRDefault="00F84125" w:rsidP="00F53A0E">
      <w:r>
        <w:t>Στόχος του συστήματος τελωνειακών αποφάσεων είναι η διεκπεραίωση των αδειών με ενιαίο τρόπο με χρήση του ίδιου ηλεκτρονικού συστήματος πληροφοριών.</w:t>
      </w:r>
    </w:p>
    <w:p w14:paraId="5645EABE" w14:textId="37D3026D" w:rsidR="00AC7862" w:rsidRPr="00810B5C" w:rsidRDefault="00F53A0E" w:rsidP="00F53A0E">
      <w:r>
        <w:t>Στο παράρτημα Α του κατ’ εξουσιοδότηση κανονισμού της Επιτροπής παρατίθενται όλα τα πιθανά είδη αδειών και αποφάσεων για τις οποίες μπορεί να χορηγηθεί τελωνειακή απόφαση. Ωστόσο, αξίζει να σημειωθεί ότι μόνο 22 εξ αυτών καλύπτονται από το σύστημα τελωνειακών αποφάσεων (παρατίθενται στην ενότητα </w:t>
      </w:r>
      <w:r>
        <w:fldChar w:fldCharType="begin"/>
      </w:r>
      <w:r>
        <w:instrText xml:space="preserve"> REF _Ref486859170 \w \h  \* MERGEFORMAT </w:instrText>
      </w:r>
      <w:r>
        <w:fldChar w:fldCharType="separate"/>
      </w:r>
      <w:r>
        <w:t>1.8</w:t>
      </w:r>
      <w:r>
        <w:fldChar w:fldCharType="end"/>
      </w:r>
      <w:r>
        <w:t>). Οι ακόλουθες άδειες δεν εμπίπτουν στο πεδίο εφαρμογής του CDS:</w:t>
      </w:r>
    </w:p>
    <w:p w14:paraId="3B0E8407" w14:textId="1D6AA8DE" w:rsidR="002108FA" w:rsidRPr="00592268" w:rsidRDefault="002108FA" w:rsidP="00AC44B1">
      <w:pPr>
        <w:numPr>
          <w:ilvl w:val="0"/>
          <w:numId w:val="47"/>
        </w:numPr>
        <w:ind w:left="568" w:hanging="284"/>
      </w:pPr>
      <w:r>
        <w:t>AEOC: Άδεια για την ιδιότητα του εγκεκριμένου οικονομικού φορέα – Τελωνειακές απλουστεύσεις·</w:t>
      </w:r>
    </w:p>
    <w:p w14:paraId="36EBCA46" w14:textId="29BB4F0B" w:rsidR="002108FA" w:rsidRPr="00592268" w:rsidRDefault="002108FA" w:rsidP="00AC44B1">
      <w:pPr>
        <w:numPr>
          <w:ilvl w:val="0"/>
          <w:numId w:val="47"/>
        </w:numPr>
        <w:ind w:left="568" w:hanging="284"/>
      </w:pPr>
      <w:r>
        <w:t>AEOS: Άδεια για την ιδιότητα του εγκεκριμένου οικονομικού φορέα – Ασφάλεια και προστασία·</w:t>
      </w:r>
    </w:p>
    <w:p w14:paraId="24A3476A" w14:textId="257FC74D" w:rsidR="00F84125" w:rsidRPr="00810B5C" w:rsidRDefault="002108FA" w:rsidP="00AC44B1">
      <w:pPr>
        <w:numPr>
          <w:ilvl w:val="0"/>
          <w:numId w:val="47"/>
        </w:numPr>
        <w:ind w:left="568" w:hanging="284"/>
      </w:pPr>
      <w:r>
        <w:t>AEOF: Άδεια για την ιδιότητα του εγκεκριμένου οικονομικού φορέα – Τελωνειακές απλουστεύσεις/Ασφάλεια και προστασία·</w:t>
      </w:r>
    </w:p>
    <w:p w14:paraId="2297FE5F" w14:textId="0D6F63F5" w:rsidR="00F84125" w:rsidRPr="00810B5C" w:rsidRDefault="00F84125" w:rsidP="00AC44B1">
      <w:pPr>
        <w:numPr>
          <w:ilvl w:val="0"/>
          <w:numId w:val="47"/>
        </w:numPr>
        <w:ind w:left="568" w:hanging="284"/>
      </w:pPr>
      <w:r>
        <w:t>ΔΠΚ: Απόφαση σχετικά με δεσμευτικές πληροφορίες καταγωγής·</w:t>
      </w:r>
    </w:p>
    <w:p w14:paraId="11532C9E" w14:textId="5529D97E" w:rsidR="00F84125" w:rsidRPr="00810B5C" w:rsidRDefault="00F84125" w:rsidP="00AC44B1">
      <w:pPr>
        <w:numPr>
          <w:ilvl w:val="0"/>
          <w:numId w:val="47"/>
        </w:numPr>
        <w:ind w:left="568" w:hanging="284"/>
      </w:pPr>
      <w:r>
        <w:t>ΔΔΠ: Απόφαση σχετικά με δεσμευτικές δασμολογικές πληροφορίες·</w:t>
      </w:r>
    </w:p>
    <w:p w14:paraId="3EE35887" w14:textId="2F8DCE85" w:rsidR="00F84125" w:rsidRPr="00810B5C" w:rsidRDefault="00F84125" w:rsidP="00AC44B1">
      <w:pPr>
        <w:numPr>
          <w:ilvl w:val="0"/>
          <w:numId w:val="47"/>
        </w:numPr>
        <w:ind w:left="568" w:hanging="284"/>
      </w:pPr>
      <w:r>
        <w:t>REM: Απόφαση για τη διαγραφή ποσού εισαγωγικού ή εξαγωγικού δασμού·</w:t>
      </w:r>
    </w:p>
    <w:p w14:paraId="4115DB17" w14:textId="27B23E46" w:rsidR="00F84125" w:rsidRPr="00810B5C" w:rsidRDefault="00F84125" w:rsidP="00AC44B1">
      <w:pPr>
        <w:numPr>
          <w:ilvl w:val="0"/>
          <w:numId w:val="47"/>
        </w:numPr>
        <w:ind w:left="568" w:hanging="284"/>
      </w:pPr>
      <w:r>
        <w:t>REP: Απόφαση για την επιστροφή ποσού εισαγωγικού ή εξαγωγικού δασμού.</w:t>
      </w:r>
    </w:p>
    <w:p w14:paraId="1C6DF24B" w14:textId="7423F608" w:rsidR="00F84125" w:rsidRPr="00810B5C" w:rsidRDefault="00E20758" w:rsidP="00F53A0E">
      <w:r>
        <w:t>Οι άδειες AEO και οι αποφάσεις ΔΔΠ εξακολουθούν να τηρούνται στα ειδικά συστήματα που τις αφορούν.</w:t>
      </w:r>
    </w:p>
    <w:p w14:paraId="19347E22" w14:textId="4C0604C7" w:rsidR="001A083B" w:rsidRPr="002108FA" w:rsidRDefault="001A083B" w:rsidP="003B59D7">
      <w:pPr>
        <w:pStyle w:val="Heading2"/>
      </w:pPr>
      <w:bookmarkStart w:id="7" w:name="_Ref486940420"/>
      <w:r>
        <w:t>Ορισμοί</w:t>
      </w:r>
      <w:bookmarkEnd w:id="4"/>
      <w:bookmarkEnd w:id="7"/>
    </w:p>
    <w:p w14:paraId="1DF2248E" w14:textId="38FD8FDF" w:rsidR="003B59D7" w:rsidRPr="002108FA" w:rsidRDefault="004208D1" w:rsidP="003B59D7">
      <w:r>
        <w:t xml:space="preserve">Στον </w:t>
      </w:r>
      <w:r>
        <w:fldChar w:fldCharType="begin"/>
      </w:r>
      <w:r>
        <w:instrText xml:space="preserve"> REF _Ref484090889 \h </w:instrText>
      </w:r>
      <w:r>
        <w:fldChar w:fldCharType="separate"/>
      </w:r>
      <w:r w:rsidR="00B66BEF">
        <w:t>Πίνακα</w:t>
      </w:r>
      <w:r>
        <w:t xml:space="preserve"> </w:t>
      </w:r>
      <w:r>
        <w:rPr>
          <w:noProof/>
        </w:rPr>
        <w:t>1</w:t>
      </w:r>
      <w:r>
        <w:fldChar w:fldCharType="end"/>
      </w:r>
      <w:r>
        <w:t xml:space="preserve"> παρατίθενται οι διάφοροι ορισμοί που χρησιμοποιούνται σε όλον τον οδηγό χρήσης ροής εργασιών.</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520"/>
        <w:gridCol w:w="6660"/>
      </w:tblGrid>
      <w:tr w:rsidR="003B59D7" w:rsidRPr="002108FA" w14:paraId="5FDBE81F" w14:textId="77777777" w:rsidTr="003B59D7">
        <w:trPr>
          <w:trHeight w:val="340"/>
          <w:tblHeader/>
          <w:jc w:val="center"/>
        </w:trPr>
        <w:tc>
          <w:tcPr>
            <w:tcW w:w="2520" w:type="dxa"/>
            <w:tcBorders>
              <w:bottom w:val="nil"/>
            </w:tcBorders>
            <w:shd w:val="clear" w:color="auto" w:fill="2F5496"/>
            <w:vAlign w:val="center"/>
          </w:tcPr>
          <w:p w14:paraId="5827CB6E" w14:textId="590644F5" w:rsidR="003B59D7" w:rsidRPr="002108FA" w:rsidRDefault="003B59D7" w:rsidP="003B59D7">
            <w:pPr>
              <w:pStyle w:val="TableHeading"/>
              <w:rPr>
                <w:rFonts w:cs="Arial"/>
                <w:color w:val="FFFFFF"/>
                <w:sz w:val="18"/>
                <w:szCs w:val="18"/>
              </w:rPr>
            </w:pPr>
            <w:r>
              <w:rPr>
                <w:color w:val="FFFFFF"/>
                <w:sz w:val="18"/>
              </w:rPr>
              <w:t>Όρος</w:t>
            </w:r>
          </w:p>
        </w:tc>
        <w:tc>
          <w:tcPr>
            <w:tcW w:w="6660" w:type="dxa"/>
            <w:tcBorders>
              <w:bottom w:val="nil"/>
            </w:tcBorders>
            <w:shd w:val="clear" w:color="auto" w:fill="2F5496"/>
            <w:vAlign w:val="center"/>
          </w:tcPr>
          <w:p w14:paraId="09B42AD5" w14:textId="77777777" w:rsidR="003B59D7" w:rsidRPr="002108FA" w:rsidRDefault="003B59D7" w:rsidP="003B59D7">
            <w:pPr>
              <w:pStyle w:val="TableHeading"/>
              <w:rPr>
                <w:rFonts w:cs="Arial"/>
                <w:color w:val="FFFFFF"/>
                <w:sz w:val="18"/>
                <w:szCs w:val="18"/>
              </w:rPr>
            </w:pPr>
            <w:r>
              <w:rPr>
                <w:color w:val="FFFFFF"/>
                <w:sz w:val="18"/>
              </w:rPr>
              <w:t>Ορισμός</w:t>
            </w:r>
          </w:p>
        </w:tc>
      </w:tr>
      <w:tr w:rsidR="003B59D7" w:rsidRPr="002108FA" w14:paraId="558F1B8B" w14:textId="77777777" w:rsidTr="003B59D7">
        <w:trPr>
          <w:jc w:val="center"/>
        </w:trPr>
        <w:tc>
          <w:tcPr>
            <w:tcW w:w="2520" w:type="dxa"/>
            <w:vAlign w:val="center"/>
          </w:tcPr>
          <w:p w14:paraId="1264D6B0" w14:textId="3311D0F6" w:rsidR="003B59D7" w:rsidRPr="002108FA" w:rsidRDefault="003B59D7" w:rsidP="003B59D7">
            <w:pPr>
              <w:spacing w:before="60" w:after="60"/>
              <w:jc w:val="left"/>
              <w:rPr>
                <w:rFonts w:cs="Arial"/>
                <w:snapToGrid w:val="0"/>
                <w:sz w:val="18"/>
                <w:szCs w:val="18"/>
                <w:highlight w:val="yellow"/>
              </w:rPr>
            </w:pPr>
            <w:r>
              <w:rPr>
                <w:snapToGrid w:val="0"/>
                <w:sz w:val="18"/>
              </w:rPr>
              <w:t>Αίτηση</w:t>
            </w:r>
          </w:p>
        </w:tc>
        <w:tc>
          <w:tcPr>
            <w:tcW w:w="6660" w:type="dxa"/>
            <w:vAlign w:val="center"/>
          </w:tcPr>
          <w:p w14:paraId="418CE738" w14:textId="63D81069" w:rsidR="003B59D7" w:rsidRPr="00F53A0E" w:rsidRDefault="003B59D7" w:rsidP="003B59D7">
            <w:pPr>
              <w:spacing w:before="60" w:after="60"/>
              <w:jc w:val="left"/>
              <w:rPr>
                <w:rFonts w:cs="Arial"/>
                <w:sz w:val="18"/>
                <w:szCs w:val="18"/>
                <w:highlight w:val="yellow"/>
              </w:rPr>
            </w:pPr>
            <w:r>
              <w:rPr>
                <w:sz w:val="18"/>
              </w:rPr>
              <w:t>Επίσημη αίτηση για χορήγηση τελωνειακής απόφασης, που υποβάλλεται στις τελωνειακές αρχές.</w:t>
            </w:r>
          </w:p>
        </w:tc>
      </w:tr>
      <w:tr w:rsidR="003B59D7" w:rsidRPr="002108FA" w14:paraId="27A1BCB1" w14:textId="77777777" w:rsidTr="003B59D7">
        <w:trPr>
          <w:jc w:val="center"/>
        </w:trPr>
        <w:tc>
          <w:tcPr>
            <w:tcW w:w="2520" w:type="dxa"/>
            <w:vAlign w:val="center"/>
          </w:tcPr>
          <w:p w14:paraId="6E209948" w14:textId="0B107272" w:rsidR="003B59D7" w:rsidRPr="002108FA" w:rsidRDefault="003B59D7" w:rsidP="003B59D7">
            <w:pPr>
              <w:spacing w:before="60" w:after="60"/>
              <w:jc w:val="left"/>
              <w:rPr>
                <w:rFonts w:cs="Arial"/>
                <w:snapToGrid w:val="0"/>
                <w:sz w:val="18"/>
                <w:szCs w:val="18"/>
              </w:rPr>
            </w:pPr>
            <w:r>
              <w:rPr>
                <w:snapToGrid w:val="0"/>
                <w:sz w:val="18"/>
              </w:rPr>
              <w:t>Άδεια</w:t>
            </w:r>
          </w:p>
        </w:tc>
        <w:tc>
          <w:tcPr>
            <w:tcW w:w="6660" w:type="dxa"/>
            <w:vAlign w:val="center"/>
          </w:tcPr>
          <w:p w14:paraId="73A54DAC" w14:textId="526F79CA" w:rsidR="003B59D7" w:rsidRPr="00F53A0E" w:rsidRDefault="003B59D7" w:rsidP="00B91B22">
            <w:pPr>
              <w:spacing w:before="60" w:after="60"/>
              <w:jc w:val="left"/>
              <w:rPr>
                <w:rFonts w:cs="Arial"/>
                <w:snapToGrid w:val="0"/>
                <w:sz w:val="18"/>
                <w:szCs w:val="18"/>
              </w:rPr>
            </w:pPr>
            <w:r>
              <w:rPr>
                <w:snapToGrid w:val="0"/>
                <w:sz w:val="18"/>
              </w:rPr>
              <w:t>Πράξη των τελωνειακών αρχών που αφορά την τελωνειακή νομοθεσία και ρυθμίζει μια συγκεκριμένη υπόθεση και η οποία παράγει έννομα αποτελέσματα για τα εμπλεκόμενα πρόσωπα (άρθρο 5 σημείο 39 του ΕΤΚ).</w:t>
            </w:r>
          </w:p>
        </w:tc>
      </w:tr>
      <w:tr w:rsidR="003B59D7" w:rsidRPr="002108FA" w14:paraId="22815BD2" w14:textId="77777777" w:rsidTr="003B59D7">
        <w:trPr>
          <w:jc w:val="center"/>
        </w:trPr>
        <w:tc>
          <w:tcPr>
            <w:tcW w:w="2520" w:type="dxa"/>
            <w:vAlign w:val="center"/>
          </w:tcPr>
          <w:p w14:paraId="02D099DD" w14:textId="68C692DD" w:rsidR="003B59D7" w:rsidRPr="002108FA" w:rsidRDefault="003B59D7" w:rsidP="003B59D7">
            <w:pPr>
              <w:spacing w:before="60" w:after="60"/>
              <w:jc w:val="left"/>
              <w:rPr>
                <w:rFonts w:cs="Arial"/>
                <w:snapToGrid w:val="0"/>
                <w:sz w:val="18"/>
                <w:szCs w:val="18"/>
              </w:rPr>
            </w:pPr>
            <w:r>
              <w:rPr>
                <w:snapToGrid w:val="0"/>
                <w:sz w:val="18"/>
              </w:rPr>
              <w:t>Τελωνειακή απόφαση</w:t>
            </w:r>
          </w:p>
        </w:tc>
        <w:tc>
          <w:tcPr>
            <w:tcW w:w="6660" w:type="dxa"/>
            <w:vAlign w:val="center"/>
          </w:tcPr>
          <w:p w14:paraId="17AB524F" w14:textId="017885E3" w:rsidR="003B59D7" w:rsidRPr="00F53A0E" w:rsidRDefault="003B59D7" w:rsidP="003B59D7">
            <w:pPr>
              <w:spacing w:before="60" w:after="60"/>
              <w:jc w:val="left"/>
              <w:rPr>
                <w:rFonts w:cs="Arial"/>
                <w:snapToGrid w:val="0"/>
                <w:sz w:val="18"/>
                <w:szCs w:val="18"/>
              </w:rPr>
            </w:pPr>
            <w:r>
              <w:rPr>
                <w:snapToGrid w:val="0"/>
                <w:sz w:val="18"/>
              </w:rPr>
              <w:t>Σε αυτό το πλαίσιο, συνώνυμο της άδειας.</w:t>
            </w:r>
          </w:p>
        </w:tc>
      </w:tr>
      <w:tr w:rsidR="003B59D7" w:rsidRPr="002108FA" w14:paraId="0F2DA8F7" w14:textId="77777777" w:rsidTr="003B59D7">
        <w:trPr>
          <w:jc w:val="center"/>
        </w:trPr>
        <w:tc>
          <w:tcPr>
            <w:tcW w:w="2520" w:type="dxa"/>
          </w:tcPr>
          <w:p w14:paraId="19F63F88" w14:textId="43EFD491" w:rsidR="003B59D7" w:rsidRPr="002108FA" w:rsidRDefault="003B59D7" w:rsidP="003B59D7">
            <w:pPr>
              <w:pStyle w:val="TableCell"/>
              <w:spacing w:after="60"/>
              <w:rPr>
                <w:rFonts w:cs="Arial"/>
                <w:sz w:val="18"/>
                <w:szCs w:val="18"/>
              </w:rPr>
            </w:pPr>
            <w:r>
              <w:rPr>
                <w:sz w:val="18"/>
              </w:rPr>
              <w:t>Οικονομικός φορέας</w:t>
            </w:r>
          </w:p>
        </w:tc>
        <w:tc>
          <w:tcPr>
            <w:tcW w:w="6660" w:type="dxa"/>
          </w:tcPr>
          <w:p w14:paraId="09721F5B" w14:textId="2DBE9A52" w:rsidR="00810B5C" w:rsidRPr="00F53A0E" w:rsidRDefault="00810B5C" w:rsidP="00810B5C">
            <w:pPr>
              <w:pStyle w:val="TableCell"/>
              <w:spacing w:after="60"/>
              <w:rPr>
                <w:rFonts w:cs="Arial"/>
                <w:snapToGrid w:val="0"/>
                <w:sz w:val="18"/>
                <w:szCs w:val="18"/>
              </w:rPr>
            </w:pPr>
            <w:r>
              <w:rPr>
                <w:snapToGrid w:val="0"/>
                <w:sz w:val="18"/>
              </w:rPr>
              <w:t>Πρόσωπο που, στο πλαίσιο άσκησης της επιχειρηματικής του δραστηριότητας, συμμετέχει σε δραστηριότητες που διέπονται από την τελωνειακή νομοθεσία (άρθρο 5 σημείο 5 του ΕΤΚ).</w:t>
            </w:r>
          </w:p>
          <w:p w14:paraId="16EFF8EF" w14:textId="4863FB93" w:rsidR="003B59D7" w:rsidRPr="00F53A0E" w:rsidRDefault="00810B5C" w:rsidP="00810B5C">
            <w:pPr>
              <w:pStyle w:val="TableCell"/>
              <w:spacing w:after="60"/>
              <w:rPr>
                <w:rFonts w:cs="Arial"/>
                <w:sz w:val="18"/>
                <w:szCs w:val="18"/>
              </w:rPr>
            </w:pPr>
            <w:r>
              <w:rPr>
                <w:snapToGrid w:val="0"/>
                <w:sz w:val="18"/>
              </w:rPr>
              <w:t>Σε αυτό το πλαίσιο, καλείται επίσης «συναλλασσόμενος».</w:t>
            </w:r>
          </w:p>
        </w:tc>
      </w:tr>
      <w:tr w:rsidR="003B59D7" w:rsidRPr="002108FA" w14:paraId="13209CAD" w14:textId="77777777" w:rsidTr="003B59D7">
        <w:trPr>
          <w:jc w:val="center"/>
        </w:trPr>
        <w:tc>
          <w:tcPr>
            <w:tcW w:w="2520" w:type="dxa"/>
          </w:tcPr>
          <w:p w14:paraId="41822053" w14:textId="661B38D0" w:rsidR="003B59D7" w:rsidRPr="002108FA" w:rsidRDefault="003B59D7" w:rsidP="003B59D7">
            <w:pPr>
              <w:pStyle w:val="TableCell"/>
              <w:spacing w:after="60"/>
              <w:rPr>
                <w:rFonts w:cs="Arial"/>
                <w:sz w:val="18"/>
                <w:szCs w:val="18"/>
              </w:rPr>
            </w:pPr>
            <w:r>
              <w:rPr>
                <w:sz w:val="18"/>
              </w:rPr>
              <w:t>Αιτών</w:t>
            </w:r>
          </w:p>
        </w:tc>
        <w:tc>
          <w:tcPr>
            <w:tcW w:w="6660" w:type="dxa"/>
          </w:tcPr>
          <w:p w14:paraId="381EDD67" w14:textId="53A87D99" w:rsidR="003B59D7" w:rsidRPr="00F53A0E" w:rsidRDefault="003B59D7" w:rsidP="003B59D7">
            <w:pPr>
              <w:pStyle w:val="TableCell"/>
              <w:spacing w:after="60"/>
              <w:rPr>
                <w:rFonts w:cs="Arial"/>
                <w:sz w:val="18"/>
                <w:szCs w:val="18"/>
              </w:rPr>
            </w:pPr>
            <w:r>
              <w:rPr>
                <w:sz w:val="18"/>
              </w:rPr>
              <w:t>Πρόσωπο που υποβάλλει αίτηση στις τελωνειακές αρχές για έκδοση απόφασης (BPM).</w:t>
            </w:r>
          </w:p>
        </w:tc>
      </w:tr>
      <w:tr w:rsidR="003B59D7" w:rsidRPr="002108FA" w14:paraId="16E93314" w14:textId="77777777" w:rsidTr="003B59D7">
        <w:trPr>
          <w:jc w:val="center"/>
        </w:trPr>
        <w:tc>
          <w:tcPr>
            <w:tcW w:w="2520" w:type="dxa"/>
            <w:vAlign w:val="center"/>
          </w:tcPr>
          <w:p w14:paraId="65274DAC" w14:textId="2A42F88F" w:rsidR="003B59D7" w:rsidRPr="002108FA" w:rsidRDefault="003B59D7" w:rsidP="003B59D7">
            <w:pPr>
              <w:spacing w:before="60" w:after="60"/>
              <w:jc w:val="left"/>
              <w:rPr>
                <w:rFonts w:cs="Arial"/>
                <w:snapToGrid w:val="0"/>
                <w:sz w:val="18"/>
                <w:szCs w:val="18"/>
              </w:rPr>
            </w:pPr>
            <w:r>
              <w:rPr>
                <w:snapToGrid w:val="0"/>
                <w:sz w:val="18"/>
              </w:rPr>
              <w:t>Δικαιούχος</w:t>
            </w:r>
          </w:p>
        </w:tc>
        <w:tc>
          <w:tcPr>
            <w:tcW w:w="6660" w:type="dxa"/>
            <w:vAlign w:val="center"/>
          </w:tcPr>
          <w:p w14:paraId="2FDB9B7F" w14:textId="20D9C2BE" w:rsidR="003B59D7" w:rsidRPr="00F53A0E" w:rsidRDefault="00EC785D" w:rsidP="00EC785D">
            <w:pPr>
              <w:spacing w:before="60" w:after="60"/>
              <w:jc w:val="left"/>
              <w:rPr>
                <w:rFonts w:cs="Arial"/>
                <w:snapToGrid w:val="0"/>
                <w:sz w:val="18"/>
                <w:szCs w:val="18"/>
              </w:rPr>
            </w:pPr>
            <w:r>
              <w:rPr>
                <w:snapToGrid w:val="0"/>
                <w:sz w:val="18"/>
              </w:rPr>
              <w:t xml:space="preserve">Πρόσωπο για το οποίο εκδίδεται απόφαση. Αυτός ο όρος μπορεί να αναφέρεται επίσης στον αντιπρόσωπο του δικαιούχου </w:t>
            </w:r>
            <w:r>
              <w:rPr>
                <w:sz w:val="18"/>
              </w:rPr>
              <w:t>(BPM).</w:t>
            </w:r>
          </w:p>
        </w:tc>
      </w:tr>
      <w:tr w:rsidR="00DA37D8" w:rsidRPr="002108FA" w14:paraId="463A4171" w14:textId="77777777" w:rsidTr="003B59D7">
        <w:trPr>
          <w:jc w:val="center"/>
        </w:trPr>
        <w:tc>
          <w:tcPr>
            <w:tcW w:w="2520" w:type="dxa"/>
            <w:vAlign w:val="center"/>
          </w:tcPr>
          <w:p w14:paraId="7AFA6D1D" w14:textId="75DF1D55" w:rsidR="00DA37D8" w:rsidRPr="002108FA" w:rsidRDefault="00DA37D8" w:rsidP="003B59D7">
            <w:pPr>
              <w:spacing w:before="60" w:after="60"/>
              <w:jc w:val="left"/>
              <w:rPr>
                <w:rFonts w:cs="Arial"/>
                <w:snapToGrid w:val="0"/>
                <w:sz w:val="18"/>
                <w:szCs w:val="18"/>
              </w:rPr>
            </w:pPr>
            <w:r>
              <w:rPr>
                <w:snapToGrid w:val="0"/>
                <w:sz w:val="18"/>
              </w:rPr>
              <w:t>Τελωνειακή αρχή</w:t>
            </w:r>
          </w:p>
        </w:tc>
        <w:tc>
          <w:tcPr>
            <w:tcW w:w="6660" w:type="dxa"/>
            <w:vAlign w:val="center"/>
          </w:tcPr>
          <w:p w14:paraId="7438E872" w14:textId="086B6BC9" w:rsidR="00DA37D8" w:rsidRPr="00F53A0E" w:rsidRDefault="00F53A0E" w:rsidP="003B59D7">
            <w:pPr>
              <w:spacing w:before="60" w:after="60"/>
              <w:jc w:val="left"/>
              <w:rPr>
                <w:rFonts w:cs="Arial"/>
                <w:snapToGrid w:val="0"/>
                <w:sz w:val="18"/>
                <w:szCs w:val="18"/>
              </w:rPr>
            </w:pPr>
            <w:r>
              <w:rPr>
                <w:snapToGrid w:val="0"/>
                <w:sz w:val="18"/>
              </w:rPr>
              <w:t>Οι τελωνειακές διοικήσεις των κρατών μελών που είναι υπεύθυνες για την εφαρμογή της τελωνειακής νομοθεσίας, καθώς και οποιεσδήποτε άλλες αρχές εξουσιοδοτημένες, σύμφωνα με το εθνικό δίκαιο, να εφαρμόζουν ορισμένες διατάξεις της τελωνειακής νομοθεσίας (άρθρο 5 σημείο 1 του ΕΤΚ).</w:t>
            </w:r>
          </w:p>
        </w:tc>
      </w:tr>
      <w:tr w:rsidR="00810B5C" w:rsidRPr="002108FA" w14:paraId="4C4D8956" w14:textId="77777777" w:rsidTr="003B59D7">
        <w:trPr>
          <w:jc w:val="center"/>
        </w:trPr>
        <w:tc>
          <w:tcPr>
            <w:tcW w:w="2520" w:type="dxa"/>
            <w:vAlign w:val="center"/>
          </w:tcPr>
          <w:p w14:paraId="29048778" w14:textId="4134DEBC" w:rsidR="00810B5C" w:rsidRPr="00810B5C" w:rsidRDefault="00810B5C" w:rsidP="003B59D7">
            <w:pPr>
              <w:pStyle w:val="TableCell"/>
              <w:spacing w:after="60"/>
              <w:rPr>
                <w:rFonts w:cs="Arial"/>
                <w:sz w:val="18"/>
                <w:szCs w:val="18"/>
              </w:rPr>
            </w:pPr>
            <w:r>
              <w:rPr>
                <w:snapToGrid w:val="0"/>
                <w:sz w:val="18"/>
              </w:rPr>
              <w:t>Αρμόδια για τη λήψη απόφασης τελωνειακή αρχή</w:t>
            </w:r>
          </w:p>
        </w:tc>
        <w:tc>
          <w:tcPr>
            <w:tcW w:w="6660" w:type="dxa"/>
            <w:vAlign w:val="center"/>
          </w:tcPr>
          <w:p w14:paraId="2DCDD412" w14:textId="4B2ABA2B" w:rsidR="00810B5C" w:rsidRPr="00F53A0E" w:rsidRDefault="00810B5C" w:rsidP="003B59D7">
            <w:pPr>
              <w:pStyle w:val="TableCell"/>
              <w:keepNext/>
              <w:spacing w:after="60"/>
              <w:rPr>
                <w:rFonts w:cs="Arial"/>
                <w:bCs w:val="0"/>
                <w:snapToGrid w:val="0"/>
                <w:sz w:val="18"/>
                <w:szCs w:val="18"/>
              </w:rPr>
            </w:pPr>
            <w:r>
              <w:rPr>
                <w:snapToGrid w:val="0"/>
                <w:sz w:val="18"/>
              </w:rPr>
              <w:t>Τελωνειακή αρχή που είναι αρμόδια για 1) τη λήψη της απόφασης και 2) για τη διαχείριση της απόφασης.</w:t>
            </w:r>
          </w:p>
        </w:tc>
      </w:tr>
      <w:tr w:rsidR="003B59D7" w:rsidRPr="002108FA" w14:paraId="008AF523" w14:textId="77777777" w:rsidTr="003B59D7">
        <w:trPr>
          <w:jc w:val="center"/>
        </w:trPr>
        <w:tc>
          <w:tcPr>
            <w:tcW w:w="2520" w:type="dxa"/>
            <w:vAlign w:val="center"/>
          </w:tcPr>
          <w:p w14:paraId="6D416F21" w14:textId="336F28FF" w:rsidR="003B59D7" w:rsidRPr="00810B5C" w:rsidRDefault="003B59D7" w:rsidP="003B59D7">
            <w:pPr>
              <w:pStyle w:val="TableCell"/>
              <w:spacing w:after="60"/>
              <w:rPr>
                <w:rFonts w:cs="Arial"/>
                <w:sz w:val="18"/>
                <w:szCs w:val="18"/>
              </w:rPr>
            </w:pPr>
            <w:r>
              <w:rPr>
                <w:sz w:val="18"/>
              </w:rPr>
              <w:t>Εμπλεκόμενο κράτος μέλος</w:t>
            </w:r>
          </w:p>
        </w:tc>
        <w:tc>
          <w:tcPr>
            <w:tcW w:w="6660" w:type="dxa"/>
            <w:vAlign w:val="center"/>
          </w:tcPr>
          <w:p w14:paraId="025135D6" w14:textId="66A56E7F" w:rsidR="003B59D7" w:rsidRPr="00AC44B1" w:rsidRDefault="00D33C62" w:rsidP="003B59D7">
            <w:pPr>
              <w:pStyle w:val="TableCell"/>
              <w:keepNext/>
              <w:spacing w:after="60"/>
              <w:rPr>
                <w:rFonts w:cs="Arial"/>
                <w:sz w:val="18"/>
                <w:szCs w:val="18"/>
              </w:rPr>
            </w:pPr>
            <w:r>
              <w:rPr>
                <w:snapToGrid w:val="0"/>
                <w:sz w:val="18"/>
              </w:rPr>
              <w:t>Οποιοδήποτε κράτος μέλος επηρεάζεται από μια απόφαση</w:t>
            </w:r>
            <w:r>
              <w:rPr>
                <w:sz w:val="18"/>
              </w:rPr>
              <w:t>.</w:t>
            </w:r>
          </w:p>
        </w:tc>
      </w:tr>
      <w:tr w:rsidR="003B59D7" w:rsidRPr="002108FA" w14:paraId="4962EB5D" w14:textId="77777777" w:rsidTr="003B59D7">
        <w:trPr>
          <w:jc w:val="center"/>
        </w:trPr>
        <w:tc>
          <w:tcPr>
            <w:tcW w:w="2520" w:type="dxa"/>
            <w:vAlign w:val="center"/>
          </w:tcPr>
          <w:p w14:paraId="6DEB0180" w14:textId="6B74D97F" w:rsidR="003B59D7" w:rsidRPr="002108FA" w:rsidRDefault="003B59D7" w:rsidP="003B59D7">
            <w:pPr>
              <w:pStyle w:val="TableCell"/>
              <w:spacing w:after="60"/>
              <w:rPr>
                <w:rFonts w:cs="Arial"/>
                <w:sz w:val="18"/>
                <w:szCs w:val="18"/>
              </w:rPr>
            </w:pPr>
            <w:r>
              <w:rPr>
                <w:sz w:val="18"/>
              </w:rPr>
              <w:t>Τελωνειακή αρχή της οποίας ζητείται η γνώμη</w:t>
            </w:r>
          </w:p>
        </w:tc>
        <w:tc>
          <w:tcPr>
            <w:tcW w:w="6660" w:type="dxa"/>
            <w:vAlign w:val="center"/>
          </w:tcPr>
          <w:p w14:paraId="6BA58EC4" w14:textId="7F6B6ACA" w:rsidR="003B59D7" w:rsidRPr="00F53A0E" w:rsidRDefault="00D33C62" w:rsidP="00D33C62">
            <w:pPr>
              <w:pStyle w:val="TableCell"/>
              <w:keepNext/>
              <w:spacing w:after="60"/>
              <w:rPr>
                <w:rFonts w:cs="Arial"/>
                <w:sz w:val="18"/>
                <w:szCs w:val="18"/>
              </w:rPr>
            </w:pPr>
            <w:r>
              <w:rPr>
                <w:snapToGrid w:val="0"/>
                <w:sz w:val="18"/>
              </w:rPr>
              <w:t>Οποιοδήποτε κράτος μέλος από το οποίο η DTCA ζητά να συνεισφέρει σε μια διαδικασία απόφασης σχετικά με αίτηση ή υφιστάμενη απόφαση μέσω της παροχής πληροφοριών, εξέταση κριτηρίων ή οποιονδήποτε άλλο τρόπο</w:t>
            </w:r>
            <w:r>
              <w:rPr>
                <w:sz w:val="18"/>
              </w:rPr>
              <w:t>.</w:t>
            </w:r>
          </w:p>
        </w:tc>
      </w:tr>
      <w:tr w:rsidR="00E76028" w:rsidRPr="002108FA" w14:paraId="14828831" w14:textId="77777777" w:rsidTr="003B59D7">
        <w:trPr>
          <w:jc w:val="center"/>
        </w:trPr>
        <w:tc>
          <w:tcPr>
            <w:tcW w:w="2520" w:type="dxa"/>
            <w:vAlign w:val="center"/>
          </w:tcPr>
          <w:p w14:paraId="1E969F3F" w14:textId="6C853C62" w:rsidR="00E76028" w:rsidRPr="002108FA" w:rsidRDefault="009646A7" w:rsidP="003B59D7">
            <w:pPr>
              <w:pStyle w:val="TableCell"/>
              <w:spacing w:after="60"/>
              <w:rPr>
                <w:rFonts w:cs="Arial"/>
                <w:sz w:val="18"/>
                <w:szCs w:val="18"/>
              </w:rPr>
            </w:pPr>
            <w:r>
              <w:rPr>
                <w:sz w:val="18"/>
              </w:rPr>
              <w:t>Απόφαση που αφορά ένα κράτος μέλος</w:t>
            </w:r>
          </w:p>
        </w:tc>
        <w:tc>
          <w:tcPr>
            <w:tcW w:w="6660" w:type="dxa"/>
            <w:vAlign w:val="center"/>
          </w:tcPr>
          <w:p w14:paraId="1367E9D7" w14:textId="3A8BBE50" w:rsidR="00E76028" w:rsidRPr="00F53A0E" w:rsidRDefault="009646A7" w:rsidP="004208D1">
            <w:pPr>
              <w:pStyle w:val="TableCell"/>
              <w:keepNext/>
              <w:spacing w:after="60"/>
              <w:rPr>
                <w:rFonts w:cs="Arial"/>
                <w:sz w:val="18"/>
                <w:szCs w:val="18"/>
              </w:rPr>
            </w:pPr>
            <w:r>
              <w:rPr>
                <w:sz w:val="18"/>
              </w:rPr>
              <w:t>Απόφαση ή άδεια που επηρεάζει ένα μόνο κράτος μέλος.</w:t>
            </w:r>
          </w:p>
        </w:tc>
      </w:tr>
      <w:tr w:rsidR="00E76028" w:rsidRPr="002108FA" w14:paraId="70AEB68E" w14:textId="77777777" w:rsidTr="003B59D7">
        <w:trPr>
          <w:jc w:val="center"/>
        </w:trPr>
        <w:tc>
          <w:tcPr>
            <w:tcW w:w="2520" w:type="dxa"/>
            <w:vAlign w:val="center"/>
          </w:tcPr>
          <w:p w14:paraId="0FECD604" w14:textId="1C83B908" w:rsidR="00E76028" w:rsidRPr="002108FA" w:rsidRDefault="009646A7" w:rsidP="003B59D7">
            <w:pPr>
              <w:pStyle w:val="TableCell"/>
              <w:spacing w:after="60"/>
              <w:rPr>
                <w:rFonts w:cs="Arial"/>
                <w:sz w:val="18"/>
                <w:szCs w:val="18"/>
              </w:rPr>
            </w:pPr>
            <w:r>
              <w:rPr>
                <w:sz w:val="18"/>
              </w:rPr>
              <w:t>Απόφαση που αφορά πολλά κράτη μέλη</w:t>
            </w:r>
          </w:p>
        </w:tc>
        <w:tc>
          <w:tcPr>
            <w:tcW w:w="6660" w:type="dxa"/>
            <w:vAlign w:val="center"/>
          </w:tcPr>
          <w:p w14:paraId="0BDB21DC" w14:textId="56ECB35A" w:rsidR="00E76028" w:rsidRPr="00F53A0E" w:rsidRDefault="009646A7" w:rsidP="00EC785D">
            <w:pPr>
              <w:pStyle w:val="TableCell"/>
              <w:keepNext/>
              <w:spacing w:after="60"/>
              <w:rPr>
                <w:rFonts w:cs="Arial"/>
                <w:sz w:val="18"/>
                <w:szCs w:val="18"/>
              </w:rPr>
            </w:pPr>
            <w:r>
              <w:rPr>
                <w:sz w:val="18"/>
              </w:rPr>
              <w:t>Απόφαση ή άδεια που επηρεάζει περισσότερα του ενός κράτη μέλη (άρθρο 10 παράγραφος 1 της εκτελεστικής πράξης).</w:t>
            </w:r>
          </w:p>
        </w:tc>
      </w:tr>
      <w:tr w:rsidR="007206AC" w:rsidRPr="002108FA" w14:paraId="72E6F23B" w14:textId="77777777" w:rsidTr="003B59D7">
        <w:trPr>
          <w:jc w:val="center"/>
        </w:trPr>
        <w:tc>
          <w:tcPr>
            <w:tcW w:w="2520" w:type="dxa"/>
            <w:vAlign w:val="center"/>
          </w:tcPr>
          <w:p w14:paraId="78B53585" w14:textId="6DE19715" w:rsidR="007206AC" w:rsidRPr="002108FA" w:rsidRDefault="007206AC" w:rsidP="003B59D7">
            <w:pPr>
              <w:pStyle w:val="TableCell"/>
              <w:spacing w:after="60"/>
              <w:rPr>
                <w:rFonts w:cs="Arial"/>
                <w:sz w:val="18"/>
                <w:szCs w:val="18"/>
              </w:rPr>
            </w:pPr>
            <w:r>
              <w:rPr>
                <w:sz w:val="18"/>
              </w:rPr>
              <w:t>Προθεσμία για τη λήψη απόφασης</w:t>
            </w:r>
          </w:p>
        </w:tc>
        <w:tc>
          <w:tcPr>
            <w:tcW w:w="6660" w:type="dxa"/>
            <w:vAlign w:val="center"/>
          </w:tcPr>
          <w:p w14:paraId="5AD3300B" w14:textId="390F689E" w:rsidR="007206AC" w:rsidRPr="00F53A0E" w:rsidRDefault="007206AC" w:rsidP="004208D1">
            <w:pPr>
              <w:pStyle w:val="TableCell"/>
              <w:keepNext/>
              <w:spacing w:after="60"/>
              <w:rPr>
                <w:rFonts w:cs="Arial"/>
                <w:sz w:val="18"/>
                <w:szCs w:val="18"/>
              </w:rPr>
            </w:pPr>
            <w:r>
              <w:rPr>
                <w:sz w:val="18"/>
              </w:rPr>
              <w:t>Χρονική περίοδος κατά την οποία ο τελωνειακός υπάλληλος πρέπει να αποφασίσει να χορηγήσει (ή όχι) την άδεια για την οποία υπέβαλε αίτηση ο συναλλασσόμενος.</w:t>
            </w:r>
          </w:p>
        </w:tc>
      </w:tr>
    </w:tbl>
    <w:p w14:paraId="361C4EE7" w14:textId="28A580A1" w:rsidR="004208D1" w:rsidRPr="002108FA" w:rsidRDefault="004208D1">
      <w:pPr>
        <w:pStyle w:val="Caption"/>
      </w:pPr>
      <w:bookmarkStart w:id="8" w:name="_Ref484090889"/>
      <w:r>
        <w:t>Πίνακας </w:t>
      </w:r>
      <w:r>
        <w:rPr>
          <w:noProof/>
        </w:rPr>
        <w:fldChar w:fldCharType="begin"/>
      </w:r>
      <w:r>
        <w:rPr>
          <w:noProof/>
        </w:rPr>
        <w:instrText xml:space="preserve"> SEQ Table \* ARABIC </w:instrText>
      </w:r>
      <w:r>
        <w:rPr>
          <w:noProof/>
        </w:rPr>
        <w:fldChar w:fldCharType="separate"/>
      </w:r>
      <w:r>
        <w:rPr>
          <w:noProof/>
        </w:rPr>
        <w:t>1</w:t>
      </w:r>
      <w:r>
        <w:rPr>
          <w:noProof/>
        </w:rPr>
        <w:fldChar w:fldCharType="end"/>
      </w:r>
      <w:bookmarkEnd w:id="8"/>
      <w:r>
        <w:t xml:space="preserve"> </w:t>
      </w:r>
      <w:bookmarkStart w:id="9" w:name="_Ref484090885"/>
      <w:r>
        <w:t>– Ορισμοί</w:t>
      </w:r>
      <w:bookmarkEnd w:id="9"/>
    </w:p>
    <w:p w14:paraId="71C3CE47" w14:textId="07470EFA" w:rsidR="008D6CAD" w:rsidRPr="002108FA" w:rsidRDefault="008D6CAD">
      <w:pPr>
        <w:pStyle w:val="Heading2"/>
      </w:pPr>
      <w:r>
        <w:t>Ενδιαφερόμενοι φορείς</w:t>
      </w:r>
    </w:p>
    <w:p w14:paraId="1DC3834D" w14:textId="19D1AE87" w:rsidR="003A5386" w:rsidRPr="002108FA" w:rsidRDefault="008D6CAD" w:rsidP="008D6CAD">
      <w:r>
        <w:t>Στόχος της παρούσας ενότητας είναι η παράθεση των διαφόρων ενδιαφερόμενων φορέων που αποτελούν τους τελικούς χρήστες του συστήματος τελωνειακών αποφάσεων.</w:t>
      </w:r>
    </w:p>
    <w:p w14:paraId="7FCD6FCD" w14:textId="75F88AE4" w:rsidR="008D6CAD" w:rsidRPr="002108FA" w:rsidRDefault="003A5386" w:rsidP="008D6CAD">
      <w:r>
        <w:t xml:space="preserve">Χρήστες της </w:t>
      </w:r>
      <w:r>
        <w:rPr>
          <w:b/>
        </w:rPr>
        <w:t>πύλης για τους συναλλασσόμενους</w:t>
      </w:r>
      <w:r>
        <w:t>:</w:t>
      </w:r>
    </w:p>
    <w:p w14:paraId="0EC12D9A" w14:textId="49D5295C" w:rsidR="008D6CAD" w:rsidRPr="002108FA" w:rsidRDefault="008D6CAD" w:rsidP="008D6CAD">
      <w:pPr>
        <w:pStyle w:val="ListParagraph"/>
        <w:numPr>
          <w:ilvl w:val="0"/>
          <w:numId w:val="48"/>
        </w:numPr>
      </w:pPr>
      <w:r>
        <w:t xml:space="preserve">Ο </w:t>
      </w:r>
      <w:r>
        <w:rPr>
          <w:b/>
        </w:rPr>
        <w:t>συναλλασσόμενος</w:t>
      </w:r>
      <w:r>
        <w:t>: όπως περιγράφεται στην ενότητα </w:t>
      </w:r>
      <w:r>
        <w:fldChar w:fldCharType="begin"/>
      </w:r>
      <w:r>
        <w:instrText xml:space="preserve"> REF _Ref483819466 \r \h </w:instrText>
      </w:r>
      <w:r>
        <w:fldChar w:fldCharType="separate"/>
      </w:r>
      <w:r>
        <w:t>1.2</w:t>
      </w:r>
      <w:r>
        <w:fldChar w:fldCharType="end"/>
      </w:r>
      <w:r>
        <w:t>, ο συναλλασσόμενος καλείται επίσης «οικονομικός φορέας», «αιτών» ή «δικαιούχος» σε αυτό το πλαίσιο·</w:t>
      </w:r>
    </w:p>
    <w:p w14:paraId="3B6EBB02" w14:textId="0F688824" w:rsidR="006F2FA8" w:rsidRPr="002108FA" w:rsidRDefault="006F2FA8" w:rsidP="008D6CAD">
      <w:pPr>
        <w:pStyle w:val="ListParagraph"/>
        <w:numPr>
          <w:ilvl w:val="0"/>
          <w:numId w:val="48"/>
        </w:numPr>
      </w:pPr>
      <w:r>
        <w:t xml:space="preserve">Ο </w:t>
      </w:r>
      <w:r>
        <w:rPr>
          <w:b/>
        </w:rPr>
        <w:t>αντιπρόσωπος</w:t>
      </w:r>
      <w:r>
        <w:t xml:space="preserve"> είναι ένα πρόσωπο που δύναται να ενεργεί για λογαριασμό ενός συναλλασσόμενου. Αξίζει να σημειωθεί ότι η έμμεση αντιπροσώπευση είναι επίσης δυνατή. Με άλλα λόγια, ο αντιπρόσωπος μπορεί να </w:t>
      </w:r>
      <w:r>
        <w:rPr>
          <w:b/>
        </w:rPr>
        <w:t>αναθέσει</w:t>
      </w:r>
      <w:r>
        <w:t xml:space="preserve"> την αντιπροσώπευση σε άλλο χρήστη ο οποίος, ως εκ τούτου, θα είναι εξουσιοδοτημένος να ενεργεί για λογαριασμό του.</w:t>
      </w:r>
    </w:p>
    <w:p w14:paraId="47BF346C" w14:textId="14D41039" w:rsidR="003A5386" w:rsidRPr="002108FA" w:rsidRDefault="003A5386" w:rsidP="00315103">
      <w:r>
        <w:t xml:space="preserve">Χρήστες του </w:t>
      </w:r>
      <w:r>
        <w:rPr>
          <w:b/>
        </w:rPr>
        <w:t>CDMS</w:t>
      </w:r>
      <w:r>
        <w:t>:</w:t>
      </w:r>
    </w:p>
    <w:p w14:paraId="0553BB5B" w14:textId="2DE7ED37" w:rsidR="00F93B08" w:rsidRPr="002108FA" w:rsidRDefault="008D6CAD" w:rsidP="008D6CAD">
      <w:pPr>
        <w:pStyle w:val="ListParagraph"/>
        <w:numPr>
          <w:ilvl w:val="0"/>
          <w:numId w:val="48"/>
        </w:numPr>
      </w:pPr>
      <w:r>
        <w:t xml:space="preserve">Ο </w:t>
      </w:r>
      <w:r>
        <w:rPr>
          <w:b/>
        </w:rPr>
        <w:t>τελωνειακός υπάλληλος της αρμόδιας για τη λήψη απόφασης τελωνειακής αρχής (DTCA)</w:t>
      </w:r>
      <w:r>
        <w:t xml:space="preserve"> είναι ο τελωνειακός υπάλληλος που είναι αρμόδιος:</w:t>
      </w:r>
    </w:p>
    <w:p w14:paraId="0A96D579" w14:textId="2B3ABAFF" w:rsidR="00F93B08" w:rsidRPr="002108FA" w:rsidRDefault="00F93B08" w:rsidP="00F93B08">
      <w:pPr>
        <w:pStyle w:val="ListParagraph"/>
        <w:numPr>
          <w:ilvl w:val="1"/>
          <w:numId w:val="48"/>
        </w:numPr>
      </w:pPr>
      <w:r>
        <w:t>να αποδέχεται (ή όχι) τις αιτήσεις που υποβλήθηκαν στο τελωνείο του·</w:t>
      </w:r>
    </w:p>
    <w:p w14:paraId="3189CE6E" w14:textId="2299BE15" w:rsidR="008D6CAD" w:rsidRPr="002108FA" w:rsidRDefault="00F93B08" w:rsidP="00F93B08">
      <w:pPr>
        <w:pStyle w:val="ListParagraph"/>
        <w:numPr>
          <w:ilvl w:val="1"/>
          <w:numId w:val="48"/>
        </w:numPr>
      </w:pPr>
      <w:r>
        <w:t>να λαμβάνει την απόφαση για τη χορήγηση (ή μη) των αδειών που υποβλήθηκαν στο τελωνείο του·</w:t>
      </w:r>
    </w:p>
    <w:p w14:paraId="3FCB9B93" w14:textId="7F1DED30" w:rsidR="00F93B08" w:rsidRPr="002108FA" w:rsidRDefault="00F93B08" w:rsidP="00F93B08">
      <w:pPr>
        <w:pStyle w:val="ListParagraph"/>
        <w:numPr>
          <w:ilvl w:val="1"/>
          <w:numId w:val="48"/>
        </w:numPr>
      </w:pPr>
      <w:r>
        <w:t>να διαχειρίζεται τις χορηγηθείσες άδειες.</w:t>
      </w:r>
    </w:p>
    <w:p w14:paraId="1AC5E800" w14:textId="3B6154FD" w:rsidR="00F93B08" w:rsidRPr="002108FA" w:rsidRDefault="00F93B08" w:rsidP="008D6CAD">
      <w:pPr>
        <w:pStyle w:val="ListParagraph"/>
        <w:numPr>
          <w:ilvl w:val="0"/>
          <w:numId w:val="48"/>
        </w:numPr>
      </w:pPr>
      <w:r>
        <w:t xml:space="preserve">Ο </w:t>
      </w:r>
      <w:r>
        <w:rPr>
          <w:b/>
        </w:rPr>
        <w:t>τελωνειακός υπάλληλος της τελωνειακής αρχής της οποίας ζητείται η γνώμη</w:t>
      </w:r>
      <w:r>
        <w:t xml:space="preserve"> είναι ο τελωνειακός υπάλληλος της τελωνειακής αρχής της οποίας ζητείται η γνώμη, ο οποίος είναι αρμόδιος για την παροχή αναπληροφόρησης κατόπιν αιτήματος διαβούλευσης.</w:t>
      </w:r>
    </w:p>
    <w:p w14:paraId="27C8D9ED" w14:textId="52F65A4E" w:rsidR="00706413" w:rsidRPr="002108FA" w:rsidRDefault="003A5386" w:rsidP="00706413">
      <w:pPr>
        <w:pStyle w:val="ListParagraph"/>
        <w:numPr>
          <w:ilvl w:val="0"/>
          <w:numId w:val="48"/>
        </w:numPr>
      </w:pPr>
      <w:r>
        <w:t xml:space="preserve">Ο </w:t>
      </w:r>
      <w:r>
        <w:rPr>
          <w:b/>
        </w:rPr>
        <w:t>τελωνειακός υπάλληλος εμπλεκόμενου κράτους μέλους</w:t>
      </w:r>
      <w:r>
        <w:t>: είναι ο τελωνειακός υπάλληλος που δύναται να προβαίνει σε ανάγνωση και/ή παροχή πληροφοριών σχετικά με άδειες στις οποίες εμπλέκεται το κράτος μέλος του.</w:t>
      </w:r>
    </w:p>
    <w:p w14:paraId="082C4B26" w14:textId="77777777" w:rsidR="006F2FA8" w:rsidRPr="002108FA" w:rsidRDefault="006F2FA8" w:rsidP="006F2FA8"/>
    <w:p w14:paraId="6E8652B2" w14:textId="32A5DCF3" w:rsidR="00980621" w:rsidRPr="002108FA" w:rsidRDefault="006F2FA8" w:rsidP="006F2FA8">
      <w:r>
        <w:t>Οι συναλλασσόμενοι και οι αντιπρόσωποι χρησιμοποιούν πύλη για τους συναλλασσόμενους για τη διαχείριση των αιτήσεων και αδειών τους (άρθρο 10 της εκτελεστικής πράξης). Η πύλη για τους συναλλασσόμενους μπορεί να είναι είτε εθνική πύλη για τους συναλλασσόμενους (NA TP) είτε η πύλη για τους συναλλασσόμενους της Ευρωπαϊκής Ένωσης (EU TP).</w:t>
      </w:r>
    </w:p>
    <w:p w14:paraId="584618E1" w14:textId="73DCCE64" w:rsidR="006F2FA8" w:rsidRPr="002108FA" w:rsidRDefault="004E7545" w:rsidP="006F2FA8">
      <w:r>
        <w:t>Οι τελωνειακοί υπάλληλοι χρησιμοποιούν σύστημα διαχείρισης τελωνειακών αποφάσεων για τη διαχείριση των αιτήσεων και αδειών. Αυτό μπορεί να είναι είτε εθνικό σύστημα διαχείρισης τελωνειακών αποφάσεων (NA CDMS) είτε το σύστημα διαχείρισης τελωνειακών αποφάσεων της Ευρωπαϊκής Ένωσης (EU CDMS).</w:t>
      </w:r>
    </w:p>
    <w:p w14:paraId="60D17A75" w14:textId="33D8458B" w:rsidR="0032769E" w:rsidRPr="002108FA" w:rsidRDefault="0032769E">
      <w:pPr>
        <w:pStyle w:val="Heading2"/>
      </w:pPr>
      <w:bookmarkStart w:id="10" w:name="_Ref483830938"/>
      <w:r>
        <w:t>Επισκόπηση αρχιτεκτονικής των στοιχείων του CDS</w:t>
      </w:r>
      <w:bookmarkEnd w:id="10"/>
    </w:p>
    <w:p w14:paraId="0AF0B05A" w14:textId="351C37B2" w:rsidR="006D4191" w:rsidRPr="002108FA" w:rsidRDefault="006D4191" w:rsidP="006D4191">
      <w:pPr>
        <w:pStyle w:val="Heading3"/>
      </w:pPr>
      <w:r>
        <w:t>Στοιχεία</w:t>
      </w:r>
    </w:p>
    <w:p w14:paraId="330B92D9" w14:textId="3BBEB066" w:rsidR="00E76028" w:rsidRPr="002108FA" w:rsidRDefault="00E76028" w:rsidP="004E7545">
      <w:r>
        <w:t>Όπως αναφέρεται στην εισαγωγή της παρούσας ενότητας, το σύστημα ΤΠ τελωνειακών αποφάσεων είναι ένα υβριδικό σύστημα, που αποτελείται από ένα κεντρικό σύστημα και προαιρετικά εθνικά συστήματα.</w:t>
      </w:r>
    </w:p>
    <w:p w14:paraId="71CD54FF" w14:textId="1A938F65" w:rsidR="004E7545" w:rsidRPr="002108FA" w:rsidRDefault="004E7545" w:rsidP="004E7545">
      <w:r>
        <w:t xml:space="preserve">Συνεπώς, το συνολικό σύστημα αποτελείται από διάφορα στοιχεία, ορισμένα εκ των οποίων είναι εθνικές οντότητες, ενώ άλλα είναι ενωσιακές/κεντρικές οντότητες. Στο </w:t>
      </w:r>
      <w:r>
        <w:fldChar w:fldCharType="begin"/>
      </w:r>
      <w:r>
        <w:instrText xml:space="preserve"> REF _Ref477784215 \h </w:instrText>
      </w:r>
      <w:r>
        <w:fldChar w:fldCharType="separate"/>
      </w:r>
      <w:r w:rsidR="00B66BEF">
        <w:t>Σχήμα</w:t>
      </w:r>
      <w:r>
        <w:t xml:space="preserve"> </w:t>
      </w:r>
      <w:r>
        <w:rPr>
          <w:noProof/>
        </w:rPr>
        <w:t>4</w:t>
      </w:r>
      <w:r>
        <w:fldChar w:fldCharType="end"/>
      </w:r>
      <w:r>
        <w:t xml:space="preserve"> παρουσιάζεται μια υψηλού επιπέδου επισκόπηση αυτής της αρχιτεκτονικής, καθώς και πιθανές περιπτώσεις ροής πληροφοριών (που θα περιγραφούν αναλυτικά παρακάτω).</w:t>
      </w:r>
    </w:p>
    <w:p w14:paraId="0D12BA3A" w14:textId="77777777" w:rsidR="004E7545" w:rsidRPr="002108FA" w:rsidRDefault="004E7545" w:rsidP="00E04F6D">
      <w:pPr>
        <w:keepNext/>
      </w:pPr>
    </w:p>
    <w:p w14:paraId="637AA232" w14:textId="6FC68819" w:rsidR="00E04F6D" w:rsidRPr="002108FA" w:rsidRDefault="00AD3A80" w:rsidP="00AD3A80">
      <w:pPr>
        <w:keepNext/>
        <w:jc w:val="center"/>
      </w:pPr>
      <w:r>
        <w:object w:dxaOrig="17329" w:dyaOrig="10817" w14:anchorId="0CD79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25pt;height:255pt" o:ole="">
            <v:imagedata r:id="rId17" o:title=""/>
          </v:shape>
          <o:OLEObject Type="Embed" ProgID="Visio.Drawing.11" ShapeID="_x0000_i1025" DrawAspect="Content" ObjectID="_1611045726" r:id="rId18"/>
        </w:object>
      </w:r>
    </w:p>
    <w:p w14:paraId="72AD330D" w14:textId="3EE1986E" w:rsidR="00E04F6D" w:rsidRPr="002108FA" w:rsidRDefault="00E04F6D" w:rsidP="00E04F6D">
      <w:pPr>
        <w:pStyle w:val="Caption"/>
      </w:pPr>
      <w:bookmarkStart w:id="11" w:name="_Ref477784215"/>
      <w:r>
        <w:t>Σχήμα </w:t>
      </w:r>
      <w:fldSimple w:instr=" SEQ Figure \* ARABIC ">
        <w:r>
          <w:rPr>
            <w:noProof/>
          </w:rPr>
          <w:t>4</w:t>
        </w:r>
      </w:fldSimple>
      <w:bookmarkEnd w:id="11"/>
      <w:r>
        <w:t xml:space="preserve"> – Αρχιτεκτονική υψηλού επιπέδου του συστήματος τελωνειακών αποφάσεων</w:t>
      </w:r>
    </w:p>
    <w:p w14:paraId="66C510C5" w14:textId="63CAB30E" w:rsidR="00937F8A" w:rsidRPr="002108FA" w:rsidRDefault="00E04F6D" w:rsidP="00E04F6D">
      <w:r>
        <w:t xml:space="preserve">Παρακάτω παρατίθεται κατάλογος των διαφόρων στοιχείων που αποτελούν τη συνολική αρχιτεκτονική: </w:t>
      </w:r>
    </w:p>
    <w:p w14:paraId="28D12866" w14:textId="670C8CE3" w:rsidR="00A832EC" w:rsidRPr="00F53A0E" w:rsidRDefault="00A832EC" w:rsidP="00111D2C">
      <w:pPr>
        <w:rPr>
          <w:b/>
          <w:u w:val="single"/>
        </w:rPr>
      </w:pPr>
      <w:r>
        <w:rPr>
          <w:b/>
          <w:u w:val="single"/>
        </w:rPr>
        <w:t>Κεντρικά στοιχεία:</w:t>
      </w:r>
    </w:p>
    <w:p w14:paraId="337F8C90" w14:textId="77777777" w:rsidR="00E04F6D" w:rsidRPr="00DD3BB0" w:rsidRDefault="00E04F6D" w:rsidP="00111D2C">
      <w:r>
        <w:rPr>
          <w:b/>
        </w:rPr>
        <w:t>EU TP:</w:t>
      </w:r>
      <w:r>
        <w:t xml:space="preserve"> Πύλη για τους συναλλασσόμενους της ΕΕ.</w:t>
      </w:r>
      <w:r>
        <w:rPr>
          <w:rFonts w:eastAsiaTheme="minorEastAsia" w:cstheme="minorBidi"/>
          <w:color w:val="0F5494"/>
          <w:kern w:val="24"/>
          <w:sz w:val="32"/>
        </w:rPr>
        <w:t xml:space="preserve"> </w:t>
      </w:r>
      <w:r>
        <w:t>Μπορεί να επικοινωνεί με:</w:t>
      </w:r>
    </w:p>
    <w:p w14:paraId="3F40376B" w14:textId="77777777" w:rsidR="00E04F6D" w:rsidRPr="002108FA" w:rsidRDefault="00E04F6D" w:rsidP="00E04F6D">
      <w:pPr>
        <w:pStyle w:val="ListParagraph"/>
        <w:numPr>
          <w:ilvl w:val="1"/>
          <w:numId w:val="49"/>
        </w:numPr>
      </w:pPr>
      <w:r>
        <w:t xml:space="preserve">το </w:t>
      </w:r>
      <w:r>
        <w:rPr>
          <w:b/>
        </w:rPr>
        <w:t>EU CDMS</w:t>
      </w:r>
      <w:r>
        <w:t>·</w:t>
      </w:r>
    </w:p>
    <w:p w14:paraId="471F1C63" w14:textId="446CE970" w:rsidR="004E7545" w:rsidRPr="002108FA" w:rsidRDefault="00E04F6D" w:rsidP="004E7545">
      <w:pPr>
        <w:pStyle w:val="ListParagraph"/>
        <w:numPr>
          <w:ilvl w:val="1"/>
          <w:numId w:val="49"/>
        </w:numPr>
      </w:pPr>
      <w:r>
        <w:t xml:space="preserve">τα </w:t>
      </w:r>
      <w:r>
        <w:rPr>
          <w:b/>
        </w:rPr>
        <w:t>NA CDMS</w:t>
      </w:r>
      <w:r>
        <w:t>.</w:t>
      </w:r>
    </w:p>
    <w:p w14:paraId="5B6327D4" w14:textId="59AFAF64" w:rsidR="00E04F6D" w:rsidRPr="002108FA" w:rsidRDefault="00E04F6D" w:rsidP="00E04F6D">
      <w:pPr>
        <w:pStyle w:val="ListParagraph"/>
        <w:numPr>
          <w:ilvl w:val="0"/>
          <w:numId w:val="49"/>
        </w:numPr>
      </w:pPr>
      <w:r>
        <w:rPr>
          <w:b/>
        </w:rPr>
        <w:t>Κεντρικό (EU) CDMS:</w:t>
      </w:r>
      <w:r>
        <w:t xml:space="preserve"> Κεντρικό σύστημα διαχείρισης τελωνειακών αποφάσεων. Μπορεί να χωριστεί στα εξής:</w:t>
      </w:r>
    </w:p>
    <w:p w14:paraId="05FBD3AD" w14:textId="43E86CFD" w:rsidR="00E04F6D" w:rsidRPr="002108FA" w:rsidRDefault="00E04F6D" w:rsidP="00E04F6D">
      <w:pPr>
        <w:pStyle w:val="ListParagraph"/>
        <w:numPr>
          <w:ilvl w:val="1"/>
          <w:numId w:val="49"/>
        </w:numPr>
      </w:pPr>
      <w:r>
        <w:rPr>
          <w:b/>
        </w:rPr>
        <w:t>Κοινό τμήμα:</w:t>
      </w:r>
      <w:r>
        <w:t xml:space="preserve"> Υπεύθυνο για τη διεκπεραίωση των διαφόρων διεργασιών (π.χ. τροποποίηση, ανάκληση κ.λπ.).</w:t>
      </w:r>
      <w:r>
        <w:rPr>
          <w:rFonts w:eastAsiaTheme="minorEastAsia" w:cstheme="minorBidi"/>
          <w:color w:val="0F5494"/>
          <w:kern w:val="24"/>
          <w:sz w:val="32"/>
        </w:rPr>
        <w:t xml:space="preserve"> </w:t>
      </w:r>
      <w:r>
        <w:t>Επικοινωνεί με:</w:t>
      </w:r>
    </w:p>
    <w:p w14:paraId="28F4374A" w14:textId="77777777" w:rsidR="00E04F6D" w:rsidRPr="002108FA" w:rsidRDefault="00E04F6D" w:rsidP="00E04F6D">
      <w:pPr>
        <w:pStyle w:val="ListParagraph"/>
        <w:numPr>
          <w:ilvl w:val="2"/>
          <w:numId w:val="49"/>
        </w:numPr>
      </w:pPr>
      <w:r>
        <w:rPr>
          <w:b/>
        </w:rPr>
        <w:t>την EU TP·</w:t>
      </w:r>
    </w:p>
    <w:p w14:paraId="3BF9E880" w14:textId="1E347BC1" w:rsidR="00E04F6D" w:rsidRPr="002108FA" w:rsidRDefault="00E04F6D" w:rsidP="00E04F6D">
      <w:pPr>
        <w:pStyle w:val="ListParagraph"/>
        <w:numPr>
          <w:ilvl w:val="2"/>
          <w:numId w:val="49"/>
        </w:numPr>
      </w:pPr>
      <w:r>
        <w:t xml:space="preserve">την </w:t>
      </w:r>
      <w:r>
        <w:rPr>
          <w:b/>
        </w:rPr>
        <w:t xml:space="preserve">ενότητα CNP </w:t>
      </w:r>
      <w:r>
        <w:t>(επικοινωνία, γνωστοποίηση και δημοσίευση)</w:t>
      </w:r>
      <w:r>
        <w:rPr>
          <w:b/>
        </w:rPr>
        <w:t>.</w:t>
      </w:r>
    </w:p>
    <w:p w14:paraId="7D594F70" w14:textId="011718B5" w:rsidR="00E04F6D" w:rsidRPr="002108FA" w:rsidRDefault="00E04F6D" w:rsidP="00E04F6D">
      <w:pPr>
        <w:pStyle w:val="ListParagraph"/>
        <w:numPr>
          <w:ilvl w:val="1"/>
          <w:numId w:val="49"/>
        </w:numPr>
      </w:pPr>
      <w:r>
        <w:rPr>
          <w:b/>
        </w:rPr>
        <w:t>Ενότητα CNP:</w:t>
      </w:r>
      <w:r>
        <w:t xml:space="preserve"> Ενότητα επικοινωνίας, γνωστοποίησης και δημοσίευσης. Υπεύθυνη για την επικοινωνία με τα εθνικά CDMS και CRS.</w:t>
      </w:r>
      <w:r>
        <w:rPr>
          <w:rFonts w:eastAsiaTheme="minorEastAsia" w:cstheme="minorBidi"/>
          <w:color w:val="0F5494"/>
          <w:kern w:val="24"/>
          <w:sz w:val="32"/>
        </w:rPr>
        <w:t xml:space="preserve"> </w:t>
      </w:r>
      <w:r>
        <w:t>Συνεπώς, επικοινωνεί με:</w:t>
      </w:r>
    </w:p>
    <w:p w14:paraId="66496CD4" w14:textId="77777777" w:rsidR="00E04F6D" w:rsidRPr="002108FA" w:rsidRDefault="00E04F6D" w:rsidP="00E04F6D">
      <w:pPr>
        <w:pStyle w:val="ListParagraph"/>
        <w:numPr>
          <w:ilvl w:val="2"/>
          <w:numId w:val="49"/>
        </w:numPr>
      </w:pPr>
      <w:r>
        <w:rPr>
          <w:b/>
        </w:rPr>
        <w:t>την κοινή ενότητα του CDMS·</w:t>
      </w:r>
    </w:p>
    <w:p w14:paraId="29E0E5A5" w14:textId="77777777" w:rsidR="00E04F6D" w:rsidRPr="002108FA" w:rsidRDefault="00E04F6D" w:rsidP="00E04F6D">
      <w:pPr>
        <w:pStyle w:val="ListParagraph"/>
        <w:numPr>
          <w:ilvl w:val="2"/>
          <w:numId w:val="49"/>
        </w:numPr>
      </w:pPr>
      <w:r>
        <w:t xml:space="preserve">τα </w:t>
      </w:r>
      <w:r>
        <w:rPr>
          <w:b/>
        </w:rPr>
        <w:t>NA CDMS</w:t>
      </w:r>
      <w:r>
        <w:t xml:space="preserve"> (υβριδική προσέγγιση)</w:t>
      </w:r>
      <w:r>
        <w:rPr>
          <w:b/>
        </w:rPr>
        <w:t>·</w:t>
      </w:r>
    </w:p>
    <w:p w14:paraId="33D6C29C" w14:textId="77777777" w:rsidR="00E04F6D" w:rsidRPr="002108FA" w:rsidRDefault="00E04F6D" w:rsidP="00E04F6D">
      <w:pPr>
        <w:pStyle w:val="ListParagraph"/>
        <w:numPr>
          <w:ilvl w:val="2"/>
          <w:numId w:val="49"/>
        </w:numPr>
      </w:pPr>
      <w:r>
        <w:rPr>
          <w:b/>
        </w:rPr>
        <w:t>το CRS.</w:t>
      </w:r>
    </w:p>
    <w:p w14:paraId="50F4A214" w14:textId="38FCEF9C" w:rsidR="00E04F6D" w:rsidRPr="002108FA" w:rsidRDefault="00E04F6D" w:rsidP="005F20BC">
      <w:pPr>
        <w:pStyle w:val="ListParagraph"/>
        <w:numPr>
          <w:ilvl w:val="0"/>
          <w:numId w:val="49"/>
        </w:numPr>
      </w:pPr>
      <w:r>
        <w:rPr>
          <w:b/>
        </w:rPr>
        <w:t xml:space="preserve">CRS: </w:t>
      </w:r>
      <w:r>
        <w:t>Τελωνειακό</w:t>
      </w:r>
      <w:r>
        <w:rPr>
          <w:b/>
        </w:rPr>
        <w:t xml:space="preserve"> </w:t>
      </w:r>
      <w:r>
        <w:t>σύστημα αναφοράς πελατών. Καταγράφει όλες τις άδειες – προκειμένου να υπάρχει δυνατότητα πρόσβασης σε αυτές από εξωτερικά (σε σχέση με τα συστήματα τελωνειακών αποφάσεων) εργαλεία (NCTS, ICS, …). Επίσης, αποτελεί τον χώρο όπου καταγράφονται τα αποτελέσματα των διεργασιών (π.χ. ακύρωση της τελωνειακής απόφασης κ.λπ.). Αυτή η ενότητα επικοινωνεί με:</w:t>
      </w:r>
    </w:p>
    <w:p w14:paraId="53FAB713" w14:textId="77777777" w:rsidR="00E04F6D" w:rsidRPr="002108FA" w:rsidRDefault="00E04F6D" w:rsidP="00E04F6D">
      <w:pPr>
        <w:pStyle w:val="ListParagraph"/>
        <w:numPr>
          <w:ilvl w:val="1"/>
          <w:numId w:val="49"/>
        </w:numPr>
      </w:pPr>
      <w:r>
        <w:t xml:space="preserve">την </w:t>
      </w:r>
      <w:r>
        <w:rPr>
          <w:b/>
        </w:rPr>
        <w:t>ενότητα CNP του EU CDMS</w:t>
      </w:r>
      <w:r>
        <w:t>·</w:t>
      </w:r>
    </w:p>
    <w:p w14:paraId="544E3DA0" w14:textId="5FE0E688" w:rsidR="00E04F6D" w:rsidRPr="002108FA" w:rsidRDefault="00E04F6D" w:rsidP="00E04F6D">
      <w:pPr>
        <w:pStyle w:val="ListParagraph"/>
        <w:numPr>
          <w:ilvl w:val="1"/>
          <w:numId w:val="49"/>
        </w:numPr>
      </w:pPr>
      <w:r>
        <w:rPr>
          <w:b/>
        </w:rPr>
        <w:t>εξωτερικές εφαρμογές</w:t>
      </w:r>
      <w:r>
        <w:t xml:space="preserve"> (NCTS, ECS, ICS).</w:t>
      </w:r>
    </w:p>
    <w:p w14:paraId="21285DBB" w14:textId="286DDE25" w:rsidR="00A832EC" w:rsidRPr="002108FA" w:rsidRDefault="00A832EC" w:rsidP="00111D2C">
      <w:pPr>
        <w:rPr>
          <w:b/>
          <w:u w:val="single"/>
        </w:rPr>
      </w:pPr>
      <w:r>
        <w:rPr>
          <w:b/>
          <w:u w:val="single"/>
        </w:rPr>
        <w:t>Εθνικά στοιχεία:</w:t>
      </w:r>
    </w:p>
    <w:p w14:paraId="589F0847" w14:textId="77777777" w:rsidR="00E04F6D" w:rsidRPr="002108FA" w:rsidRDefault="00E04F6D" w:rsidP="00E04F6D">
      <w:pPr>
        <w:pStyle w:val="ListParagraph"/>
        <w:numPr>
          <w:ilvl w:val="0"/>
          <w:numId w:val="49"/>
        </w:numPr>
      </w:pPr>
      <w:r>
        <w:rPr>
          <w:b/>
        </w:rPr>
        <w:t xml:space="preserve">NA TP: </w:t>
      </w:r>
      <w:r>
        <w:t>Εθνική πύλη για τους συναλλασσόμενους.</w:t>
      </w:r>
      <w:r>
        <w:rPr>
          <w:rFonts w:eastAsiaTheme="minorEastAsia" w:cstheme="minorBidi"/>
          <w:color w:val="0F5494"/>
          <w:kern w:val="24"/>
          <w:sz w:val="32"/>
        </w:rPr>
        <w:t xml:space="preserve"> </w:t>
      </w:r>
      <w:r>
        <w:t>Επικοινωνεί με:</w:t>
      </w:r>
    </w:p>
    <w:p w14:paraId="680D6DDF" w14:textId="77777777" w:rsidR="00E04F6D" w:rsidRPr="002108FA" w:rsidRDefault="00E04F6D" w:rsidP="00E04F6D">
      <w:pPr>
        <w:pStyle w:val="ListParagraph"/>
        <w:numPr>
          <w:ilvl w:val="1"/>
          <w:numId w:val="49"/>
        </w:numPr>
      </w:pPr>
      <w:r>
        <w:rPr>
          <w:b/>
        </w:rPr>
        <w:t>τα NA CDMS.</w:t>
      </w:r>
    </w:p>
    <w:p w14:paraId="663CFB4C" w14:textId="1B6FF3BD" w:rsidR="00E04F6D" w:rsidRPr="002108FA" w:rsidRDefault="00E04F6D" w:rsidP="00E04F6D">
      <w:pPr>
        <w:pStyle w:val="ListParagraph"/>
        <w:numPr>
          <w:ilvl w:val="0"/>
          <w:numId w:val="49"/>
        </w:numPr>
      </w:pPr>
      <w:r>
        <w:rPr>
          <w:b/>
        </w:rPr>
        <w:t>NA CDMS:</w:t>
      </w:r>
      <w:r>
        <w:t xml:space="preserve"> Εθνικό σύστημα διαχείρισης τελωνειακών αποφάσεων.</w:t>
      </w:r>
      <w:r>
        <w:rPr>
          <w:rFonts w:eastAsiaTheme="minorEastAsia" w:cstheme="minorBidi"/>
          <w:color w:val="0F5494"/>
          <w:kern w:val="24"/>
          <w:sz w:val="32"/>
        </w:rPr>
        <w:t xml:space="preserve"> </w:t>
      </w:r>
      <w:r>
        <w:t>Μπορεί να επικοινωνεί με:</w:t>
      </w:r>
    </w:p>
    <w:p w14:paraId="4C81730B" w14:textId="77777777" w:rsidR="00E04F6D" w:rsidRPr="002108FA" w:rsidRDefault="00E04F6D" w:rsidP="00E04F6D">
      <w:pPr>
        <w:pStyle w:val="ListParagraph"/>
        <w:numPr>
          <w:ilvl w:val="1"/>
          <w:numId w:val="49"/>
        </w:numPr>
      </w:pPr>
      <w:r>
        <w:rPr>
          <w:b/>
        </w:rPr>
        <w:t>την NA TP·</w:t>
      </w:r>
    </w:p>
    <w:p w14:paraId="1D273E12" w14:textId="523C1E1E" w:rsidR="00E04F6D" w:rsidRPr="002108FA" w:rsidRDefault="00E04F6D" w:rsidP="00E04F6D">
      <w:pPr>
        <w:pStyle w:val="ListParagraph"/>
        <w:numPr>
          <w:ilvl w:val="1"/>
          <w:numId w:val="49"/>
        </w:numPr>
      </w:pPr>
      <w:r>
        <w:t xml:space="preserve">την </w:t>
      </w:r>
      <w:r>
        <w:rPr>
          <w:b/>
        </w:rPr>
        <w:t>ενότητα CNP του EU CDMS</w:t>
      </w:r>
      <w:r>
        <w:t xml:space="preserve"> (υβριδική προσέγγιση).</w:t>
      </w:r>
    </w:p>
    <w:p w14:paraId="675C507E" w14:textId="638B8FF9" w:rsidR="00E76028" w:rsidRPr="002108FA" w:rsidRDefault="00E76028" w:rsidP="00315103">
      <w:r>
        <w:t>Στις ακόλουθες ενότητες παρουσιάζεται αναλυτικά ο τρόπος με τον οποίο οι διάφοροι χρήστες μπορούν να χρησιμοποιούν αποτελεσματικά τα συστήματα και να έχουν πρόσβαση σε αυτά.</w:t>
      </w:r>
    </w:p>
    <w:p w14:paraId="4C37AFEB" w14:textId="2207277B" w:rsidR="004E7545" w:rsidRPr="002108FA" w:rsidRDefault="004E7545" w:rsidP="00315103">
      <w:pPr>
        <w:pStyle w:val="Heading3"/>
      </w:pPr>
      <w:r>
        <w:t>Στρατηγικές</w:t>
      </w:r>
    </w:p>
    <w:p w14:paraId="5A564B8B" w14:textId="35A8964C" w:rsidR="00E76028" w:rsidRPr="002108FA" w:rsidRDefault="00E76028" w:rsidP="004E7545">
      <w:r>
        <w:t>Όπως προαναφέρθηκε, τα κράτη μέλη μπορούν να αποφασίσουν είτε να χρησιμοποιούν τις εφαρμογές της ΕΕ είτε να αναπτύξουν δικές τους εφαρμογές.</w:t>
      </w:r>
    </w:p>
    <w:p w14:paraId="7064201F" w14:textId="5CF5AB83" w:rsidR="004E7545" w:rsidRPr="002108FA" w:rsidRDefault="004E7545" w:rsidP="004E7545">
      <w:r>
        <w:t>Για την κατανόηση των διαφόρων πιθανών ροών και της συσχέτισης μεταξύ των προαναφερόμενων στοιχείων, στις ακόλουθες παραγράφους περιγράφεται το πού μπορεί ο συναλλασσόμενος να υποβάλει αίτηση για τελωνειακή απόφαση, ανάλογα με τη στρατηγική που ακολουθείται από τη χώρα του.</w:t>
      </w:r>
    </w:p>
    <w:p w14:paraId="7FB8450F" w14:textId="15F619F5" w:rsidR="00E76028" w:rsidRPr="002108FA" w:rsidRDefault="00E76028" w:rsidP="004E7545">
      <w:r>
        <w:t>Έχουν οριστεί τρεις στρατηγικές: η κεντρική προσέγγιση, στην οποία το κράτος μέλος χρησιμοποιεί μόνο τις εφαρμογές της ΕΕ· η εθνική προσέγγιση, στην οποία το κράτος μέλος χρησιμοποιεί μόνο τις δικές του εφαρμογές· ή η υβριδική προσέγγιση, στην οποία χρησιμοποιείται ένας συνδυασμός εθνικών και ενωσιακών εφαρμογών.</w:t>
      </w:r>
    </w:p>
    <w:p w14:paraId="5A72C3B0" w14:textId="189C3206" w:rsidR="00E04F6D" w:rsidRPr="002108FA" w:rsidRDefault="00E04F6D" w:rsidP="00315103">
      <w:pPr>
        <w:pStyle w:val="Heading4"/>
      </w:pPr>
      <w:r>
        <w:t>Στρατηγική 1: Κεντρική προσέγγιση</w:t>
      </w:r>
    </w:p>
    <w:p w14:paraId="7FCA260D" w14:textId="4B4A1B73" w:rsidR="00E04F6D" w:rsidRPr="002108FA" w:rsidRDefault="00E04F6D" w:rsidP="00E04F6D">
      <w:r>
        <w:t xml:space="preserve">Σε περίπτωση που το κράτος μέλος αποφασίσει να ακολουθεί την κεντρική προσέγγιση, όλες οι αιτήσεις πρέπει να υποβάλλονται μέσω της πύλης για τους συναλλασσόμενους της ΕΕ. Στη συνέχεια, η απόφαση για τη χορήγηση ή μη της άδειας, καθώς και η διαχείριση της άδειας, διενεργούνται στο κεντρικό CDMS. Η κεντρική προσέγγιση απεικονίζεται στο </w:t>
      </w:r>
      <w:r>
        <w:fldChar w:fldCharType="begin"/>
      </w:r>
      <w:r>
        <w:instrText xml:space="preserve"> REF _Ref484093021 \h </w:instrText>
      </w:r>
      <w:r>
        <w:fldChar w:fldCharType="separate"/>
      </w:r>
      <w:r w:rsidR="00B66BEF">
        <w:t>Σχήμα</w:t>
      </w:r>
      <w:r>
        <w:t xml:space="preserve"> </w:t>
      </w:r>
      <w:r>
        <w:rPr>
          <w:noProof/>
        </w:rPr>
        <w:t>5</w:t>
      </w:r>
      <w:r>
        <w:fldChar w:fldCharType="end"/>
      </w:r>
      <w:r>
        <w:t>.</w:t>
      </w:r>
    </w:p>
    <w:p w14:paraId="118B747E" w14:textId="49C69DEB" w:rsidR="00E04F6D" w:rsidRPr="002108FA" w:rsidRDefault="00113362" w:rsidP="00E04F6D">
      <w:pPr>
        <w:keepNext/>
      </w:pPr>
      <w:r>
        <w:object w:dxaOrig="14600" w:dyaOrig="10683" w14:anchorId="498A3ACA">
          <v:shape id="_x0000_i1026" type="#_x0000_t75" style="width:387.75pt;height:283.5pt" o:ole="">
            <v:imagedata r:id="rId19" o:title=""/>
          </v:shape>
          <o:OLEObject Type="Embed" ProgID="Visio.Drawing.11" ShapeID="_x0000_i1026" DrawAspect="Content" ObjectID="_1611045727" r:id="rId20"/>
        </w:object>
      </w:r>
    </w:p>
    <w:p w14:paraId="130F8134" w14:textId="3D77735E" w:rsidR="00E04F6D" w:rsidRPr="002108FA" w:rsidRDefault="00E04F6D" w:rsidP="00E04F6D">
      <w:pPr>
        <w:pStyle w:val="Caption"/>
      </w:pPr>
      <w:bookmarkStart w:id="12" w:name="_Ref484093021"/>
      <w:bookmarkStart w:id="13" w:name="_Ref484093014"/>
      <w:r>
        <w:t>Σχήμα </w:t>
      </w:r>
      <w:fldSimple w:instr=" SEQ Figure \* ARABIC ">
        <w:r>
          <w:rPr>
            <w:noProof/>
          </w:rPr>
          <w:t>5</w:t>
        </w:r>
      </w:fldSimple>
      <w:bookmarkEnd w:id="12"/>
      <w:r>
        <w:t xml:space="preserve"> Κεντρική προσέγγιση</w:t>
      </w:r>
      <w:bookmarkEnd w:id="13"/>
    </w:p>
    <w:p w14:paraId="4B858EE0" w14:textId="510779B2" w:rsidR="00E04F6D" w:rsidRPr="002108FA" w:rsidRDefault="00E04F6D" w:rsidP="00E04F6D">
      <w:r>
        <w:t xml:space="preserve">Όλες οι πληροφορίες (αποφάσεις που αφορούν ένα κράτος μέλος και αποφάσεις που αφορούν πολλά κράτη μέλη) αντιγράφονται στο CRS και είναι προσβάσιμες στις εξωτερικές υπηρεσίες και εφαρμογές που απαιτούν τις άδειες (εφόσον χορηγηθούν). </w:t>
      </w:r>
    </w:p>
    <w:p w14:paraId="5DC702DC" w14:textId="6F947C16" w:rsidR="00E04F6D" w:rsidRPr="002108FA" w:rsidRDefault="00E04F6D" w:rsidP="00315103">
      <w:pPr>
        <w:pStyle w:val="Heading4"/>
      </w:pPr>
      <w:r>
        <w:t>Στρατηγική 2: Κεντρικό και εθνικό CDMS</w:t>
      </w:r>
    </w:p>
    <w:p w14:paraId="36C5A9CF" w14:textId="4968BFB6" w:rsidR="00E04F6D" w:rsidRPr="002108FA" w:rsidRDefault="00E04F6D" w:rsidP="00E04F6D">
      <w:r>
        <w:t>Όταν ένα κράτος μέλος διαθέτει τις δικές του εφαρμογές CDMS και TP και αποφασίσει να ακολουθεί την προσέγγιση «Κεντρικό και εθνικό CDMS», η αίτηση πρέπει να υποβάλλεται στην εθνική TP και η διαχείριση της άδειας πρέπει να πραγματοποιείται στο εθνικό CDMS μόνο στην περίπτωση που η άδεια προορίζεται να αφορά μόνο ένα κράτος μέλος (επομένως, η απόφαση δεν δημοσιεύεται στο CRS).</w:t>
      </w:r>
    </w:p>
    <w:p w14:paraId="72A33B0E" w14:textId="5D14D08C" w:rsidR="00CF4F03" w:rsidRPr="002108FA" w:rsidRDefault="00E04F6D" w:rsidP="00E04F6D">
      <w:r>
        <w:t xml:space="preserve">Όλες οι αποφάσεις που αφορούν πολλά κράτη μέλη πρέπει ούτως ή άλλως να υποβάλλονται αποκλειστικά και μόνο στην EU TP. Συνεπώς, εφαρμόζεται η ίδια προσέγγιση όπως και για την στρατηγική «Κεντρική προσέγγιση». </w:t>
      </w:r>
    </w:p>
    <w:p w14:paraId="581035A7" w14:textId="16A15FBD" w:rsidR="00E04F6D" w:rsidRPr="002108FA" w:rsidRDefault="00E04F6D" w:rsidP="00E04F6D">
      <w:r>
        <w:t xml:space="preserve">Η προσέγγιση «Κεντρικό και εθνικό CDMS» απεικονίζεται στο </w:t>
      </w:r>
      <w:r>
        <w:fldChar w:fldCharType="begin"/>
      </w:r>
      <w:r>
        <w:instrText xml:space="preserve"> REF _Ref485908678 \h </w:instrText>
      </w:r>
      <w:r>
        <w:fldChar w:fldCharType="separate"/>
      </w:r>
      <w:r w:rsidR="00B66BEF">
        <w:t>Σχήμα</w:t>
      </w:r>
      <w:r>
        <w:t xml:space="preserve"> </w:t>
      </w:r>
      <w:r>
        <w:rPr>
          <w:noProof/>
        </w:rPr>
        <w:t>6</w:t>
      </w:r>
      <w:r>
        <w:fldChar w:fldCharType="end"/>
      </w:r>
      <w:r>
        <w:t>.</w:t>
      </w:r>
    </w:p>
    <w:p w14:paraId="3215CC64" w14:textId="77777777" w:rsidR="00CF4F03" w:rsidRPr="00DE58D4" w:rsidRDefault="00CF4F03" w:rsidP="00111D2C">
      <w:pPr>
        <w:keepNext/>
      </w:pPr>
      <w:r>
        <w:rPr>
          <w:noProof/>
          <w:lang w:val="en-GB" w:eastAsia="en-GB" w:bidi="ar-SA"/>
        </w:rPr>
        <w:drawing>
          <wp:inline distT="0" distB="0" distL="0" distR="0" wp14:anchorId="5170A268" wp14:editId="6E24FA39">
            <wp:extent cx="5760720" cy="3197323"/>
            <wp:effectExtent l="0" t="0" r="0" b="3175"/>
            <wp:docPr id="7" name="Picture 2" descr="C:\Users\cunhapa\AppData\Local\Microsoft\Windows\Temporary Internet Files\Content.Outlook\2HS4C8OD\HighLevelIT_national_C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cunhapa\AppData\Local\Microsoft\Windows\Temporary Internet Files\Content.Outlook\2HS4C8OD\HighLevelIT_national_Cent.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3197323"/>
                    </a:xfrm>
                    <a:prstGeom prst="rect">
                      <a:avLst/>
                    </a:prstGeom>
                    <a:noFill/>
                    <a:extLst/>
                  </pic:spPr>
                </pic:pic>
              </a:graphicData>
            </a:graphic>
          </wp:inline>
        </w:drawing>
      </w:r>
    </w:p>
    <w:p w14:paraId="3E67FE2F" w14:textId="5407DBA3" w:rsidR="00CF4F03" w:rsidRPr="002108FA" w:rsidRDefault="00CF4F03" w:rsidP="00CF4F03">
      <w:pPr>
        <w:pStyle w:val="Caption"/>
      </w:pPr>
      <w:bookmarkStart w:id="14" w:name="_Ref485908678"/>
      <w:r>
        <w:t>Σχήμα </w:t>
      </w:r>
      <w:fldSimple w:instr=" SEQ Figure \* ARABIC ">
        <w:r>
          <w:rPr>
            <w:noProof/>
          </w:rPr>
          <w:t>6</w:t>
        </w:r>
      </w:fldSimple>
      <w:bookmarkEnd w:id="14"/>
      <w:r>
        <w:t xml:space="preserve"> Κεντρικό και εθνικό CDMS</w:t>
      </w:r>
    </w:p>
    <w:p w14:paraId="3D7BEFB8" w14:textId="74FAB29B" w:rsidR="00E04F6D" w:rsidRPr="002108FA" w:rsidRDefault="00E04F6D" w:rsidP="00315103">
      <w:pPr>
        <w:pStyle w:val="Heading4"/>
      </w:pPr>
      <w:r>
        <w:t>Στρατηγική 3: Υβριδική προσέγγιση</w:t>
      </w:r>
    </w:p>
    <w:p w14:paraId="0BB400F5" w14:textId="13D7DB47" w:rsidR="008B4804" w:rsidRPr="002108FA" w:rsidRDefault="00E04F6D" w:rsidP="008B4804">
      <w:pPr>
        <w:keepNext/>
      </w:pPr>
      <w:r>
        <w:t xml:space="preserve">Εάν το κράτος μέλος επιλέξει υβριδική προσέγγιση, ο οικονομικός φορέας είναι ελεύθερος να επιλέξει αν θα υποβάλει αίτηση μέσω της εθνικής TP ή μέσω της EU TP. Σε αμφότερες τις περιπτώσεις, η πύλη για τους συναλλασσόμενους θα επικοινωνεί απευθείας, και μόνο, με το εθνικό CDMS. Η υβριδική προσέγγιση απεικονίζεται στο </w:t>
      </w:r>
      <w:r>
        <w:fldChar w:fldCharType="begin"/>
      </w:r>
      <w:r>
        <w:instrText xml:space="preserve"> REF _Ref482622408 \h </w:instrText>
      </w:r>
      <w:r>
        <w:fldChar w:fldCharType="separate"/>
      </w:r>
      <w:r w:rsidR="00B66BEF">
        <w:rPr>
          <w:i/>
        </w:rPr>
        <w:t>Σχήμα</w:t>
      </w:r>
      <w:r>
        <w:rPr>
          <w:i/>
        </w:rPr>
        <w:t xml:space="preserve"> </w:t>
      </w:r>
      <w:r>
        <w:rPr>
          <w:i/>
          <w:noProof/>
        </w:rPr>
        <w:t>7</w:t>
      </w:r>
      <w:r>
        <w:fldChar w:fldCharType="end"/>
      </w:r>
      <w:r>
        <w:t>.</w:t>
      </w:r>
    </w:p>
    <w:p w14:paraId="5433E870" w14:textId="2FDC13C7" w:rsidR="00E04F6D" w:rsidRPr="002108FA" w:rsidRDefault="00113362" w:rsidP="008B4804">
      <w:pPr>
        <w:keepNext/>
        <w:jc w:val="center"/>
      </w:pPr>
      <w:r>
        <w:object w:dxaOrig="19112" w:dyaOrig="10837" w14:anchorId="110B44DD">
          <v:shape id="_x0000_i1027" type="#_x0000_t75" style="width:462.75pt;height:262.5pt" o:ole="">
            <v:imagedata r:id="rId22" o:title=""/>
          </v:shape>
          <o:OLEObject Type="Embed" ProgID="Visio.Drawing.11" ShapeID="_x0000_i1027" DrawAspect="Content" ObjectID="_1611045728" r:id="rId23"/>
        </w:object>
      </w:r>
      <w:r>
        <w:t xml:space="preserve"> </w:t>
      </w:r>
      <w:bookmarkStart w:id="15" w:name="_Ref482622408"/>
      <w:r>
        <w:rPr>
          <w:i/>
        </w:rPr>
        <w:t>Σχήμα </w:t>
      </w:r>
      <w:r>
        <w:rPr>
          <w:i/>
        </w:rPr>
        <w:fldChar w:fldCharType="begin"/>
      </w:r>
      <w:r>
        <w:rPr>
          <w:i/>
        </w:rPr>
        <w:instrText xml:space="preserve"> SEQ Figure \* ARABIC </w:instrText>
      </w:r>
      <w:r>
        <w:rPr>
          <w:i/>
        </w:rPr>
        <w:fldChar w:fldCharType="separate"/>
      </w:r>
      <w:r>
        <w:rPr>
          <w:i/>
          <w:noProof/>
        </w:rPr>
        <w:t>7</w:t>
      </w:r>
      <w:r>
        <w:rPr>
          <w:i/>
          <w:noProof/>
        </w:rPr>
        <w:fldChar w:fldCharType="end"/>
      </w:r>
      <w:bookmarkEnd w:id="15"/>
      <w:r>
        <w:rPr>
          <w:i/>
        </w:rPr>
        <w:t xml:space="preserve"> Υβριδική προσέγγιση</w:t>
      </w:r>
    </w:p>
    <w:p w14:paraId="6668F8D6" w14:textId="77777777" w:rsidR="00E04F6D" w:rsidRPr="002108FA" w:rsidRDefault="00E04F6D" w:rsidP="00E04F6D">
      <w:r>
        <w:t>Για απόφαση που αφορά ένα κράτος μέλος, εναπόκειται στο κράτος μέλος να αποφασίσει ποια TP θα χρησιμοποιηθεί. Επιπλέον, το κράτος μέλος αποφασίζει αν οι αποφάσεις θα δημοσιευτούν στο CRS ή όχι.</w:t>
      </w:r>
    </w:p>
    <w:p w14:paraId="641F1603" w14:textId="77777777" w:rsidR="00E04F6D" w:rsidRPr="002108FA" w:rsidRDefault="00E04F6D" w:rsidP="00E04F6D">
      <w:r>
        <w:t>Για απόφαση που αφορά πολλά κράτη μέλη, χρησιμοποιείται η EU TP.</w:t>
      </w:r>
    </w:p>
    <w:p w14:paraId="179C5CFD" w14:textId="77777777" w:rsidR="00E04F6D" w:rsidRPr="002108FA" w:rsidRDefault="00E04F6D" w:rsidP="00E04F6D">
      <w:r>
        <w:t>Στη συνέχεια, το εθνικό CDMS επικοινωνεί με το κεντρικό CDMS μέσω της οικείας ενότητας CNP.</w:t>
      </w:r>
    </w:p>
    <w:p w14:paraId="3862EE37" w14:textId="0E6BB28E" w:rsidR="00E04F6D" w:rsidRPr="002108FA" w:rsidRDefault="00E04F6D" w:rsidP="00E04F6D">
      <w:r>
        <w:t>Πρέπει να σημειωθεί ότι εάν το κράτος μέλος χρησιμοποιεί την υβριδική προσέγγιση, πρέπει να τη χρησιμοποιεί για όλες τις τελωνειακές αποφάσεις. Επίσης, ο χειρισμός όλων των επικοινωνιών που αφορούν μια συγκεκριμένη απόφαση πρέπει να γίνεται μέσω της ίδιας πύλης.</w:t>
      </w:r>
    </w:p>
    <w:p w14:paraId="38F79B1F" w14:textId="77777777" w:rsidR="004E7545" w:rsidRPr="002108FA" w:rsidRDefault="004E7545" w:rsidP="006D4191">
      <w:pPr>
        <w:pStyle w:val="Heading3"/>
      </w:pPr>
      <w:r>
        <w:t>Παραδείγματα</w:t>
      </w:r>
    </w:p>
    <w:p w14:paraId="0E06BB13" w14:textId="3866EBF5" w:rsidR="004E7545" w:rsidRPr="002108FA" w:rsidRDefault="004E7545" w:rsidP="004E7545">
      <w:r>
        <w:t>Παρακάτω παρατίθενται ορισμένες καταστάσεις σχετικά με τους τρόπους με τους οποίους οι φορείς μπορούν να αλληλεπιδρούν με το σύστημα ΤΠ:</w:t>
      </w:r>
    </w:p>
    <w:p w14:paraId="333978D7" w14:textId="4E0467C0" w:rsidR="004E7545" w:rsidRPr="002108FA" w:rsidRDefault="004E7545" w:rsidP="004E7545">
      <w:pPr>
        <w:pStyle w:val="ListParagraph"/>
        <w:numPr>
          <w:ilvl w:val="0"/>
          <w:numId w:val="50"/>
        </w:numPr>
      </w:pPr>
      <w:r>
        <w:t>Οικονομικός φορέας της Πορτογαλίας, ο οποίος επιθυμεί απόφαση που αφορά πολλά κράτη μέλη (η Πορτογαλία χρησιμοποιεί την κεντρική προσέγγιση). Συμπληρώνω την αίτηση στην EU TP. Ο τελωνειακός υπάλληλος της Πορτογαλίας διαχειρίζεται την αίτηση στο κεντρικό CDMS. Η άδεια δημοσιεύεται στο CRS.</w:t>
      </w:r>
    </w:p>
    <w:p w14:paraId="578B8912" w14:textId="74380277" w:rsidR="004E7545" w:rsidRPr="002108FA" w:rsidRDefault="004E7545" w:rsidP="004E7545">
      <w:pPr>
        <w:pStyle w:val="ListParagraph"/>
        <w:numPr>
          <w:ilvl w:val="0"/>
          <w:numId w:val="50"/>
        </w:numPr>
      </w:pPr>
      <w:r>
        <w:t>Οικονομικός φορέας της Πορτογαλίας, ο οποίος επιθυμεί απόφαση που αφορά ένα κράτος μέλος (η Πορτογαλία χρησιμοποιεί την κεντρική προσέγγιση). Συμπληρώνω την αίτηση στην EU TP. Ο τελωνειακός υπάλληλος της Πορτογαλίας διαχειρίζεται την αίτηση στο κεντρικό CDMS. Η άδεια δημοσιεύεται στο CRS.</w:t>
      </w:r>
    </w:p>
    <w:p w14:paraId="3659869E" w14:textId="63EA9EE9" w:rsidR="004E7545" w:rsidRPr="002108FA" w:rsidRDefault="004E7545" w:rsidP="004E7545">
      <w:pPr>
        <w:pStyle w:val="ListParagraph"/>
        <w:numPr>
          <w:ilvl w:val="0"/>
          <w:numId w:val="50"/>
        </w:numPr>
      </w:pPr>
      <w:r>
        <w:t>Οικονομικός φορέας της Γερμανίας, ο οποίος επιθυμεί απόφαση που αφορά πολλά κράτη μέλη (η Γερμανία χρησιμοποιεί την κεντρική προσέγγιση για αποφάσεις που αφορούν πολλά κράτη μέλη). Συμπληρώνω την αίτηση στην EU TP. Ο τελωνειακός υπάλληλος της Γερμανίας διαχειρίζεται την αίτηση στο κεντρικό CDMS. Η άδεια δημοσιεύεται στο CRS.</w:t>
      </w:r>
    </w:p>
    <w:p w14:paraId="211EBC86" w14:textId="69381BC8" w:rsidR="004E7545" w:rsidRPr="002108FA" w:rsidRDefault="004E7545" w:rsidP="004E7545">
      <w:pPr>
        <w:pStyle w:val="ListParagraph"/>
        <w:numPr>
          <w:ilvl w:val="0"/>
          <w:numId w:val="50"/>
        </w:numPr>
      </w:pPr>
      <w:r>
        <w:t>Οικονομικός φορέας της Γερμανίας, ο οποίος επιθυμεί απόφαση που αφορά ένα κράτος μέλος (η Γερμανία χρησιμοποιεί την εθνική προσέγγιση για αποφάσεις που αφορούν ένα κράτος μέλος). Συμπληρώνω την αίτηση στην εθνική TP. Ο τελωνειακός υπάλληλος της Γερμανίας διαχειρίζεται την αίτηση στο εθνικό CDMS. Η άδεια δεν δημοσιεύεται στο CRS.</w:t>
      </w:r>
    </w:p>
    <w:p w14:paraId="4DB524DF" w14:textId="487F58B7" w:rsidR="004E7545" w:rsidRDefault="004E7545" w:rsidP="004E7545">
      <w:pPr>
        <w:pStyle w:val="ListParagraph"/>
        <w:numPr>
          <w:ilvl w:val="0"/>
          <w:numId w:val="50"/>
        </w:numPr>
      </w:pPr>
      <w:r>
        <w:t>Οικονομικός φορέας της Γαλλίας, ο οποίος επιθυμεί απόφαση που αφορά πολλά κράτη μέλη (η Γαλλία χρησιμοποιεί την υβριδική προσέγγιση). Συμπληρώνω την αίτηση στην εθνική TP ή στην EU TP. Ο τελωνειακός υπάλληλος της Γαλλίας διαχειρίζεται την αίτηση στο εθνικό CDMS. Η άδεια δημοσιεύεται στο CRS.</w:t>
      </w:r>
    </w:p>
    <w:p w14:paraId="587B4057" w14:textId="4DD16B76" w:rsidR="00E24FFB" w:rsidRPr="002108FA" w:rsidRDefault="00E24FFB" w:rsidP="00E03D1E">
      <w:r>
        <w:t xml:space="preserve">Ο πλήρης κατάλογος των επιλογών που έχουν κάνει τα κράτη μέλη διατίθεται στον ιστότοπο της ΓΔ TAXUD: </w:t>
      </w:r>
      <w:hyperlink r:id="rId24">
        <w:r>
          <w:rPr>
            <w:rStyle w:val="Hyperlink"/>
          </w:rPr>
          <w:t>https://ec.europa.eu/taxation_customs/business/customs-procedures/customs-decisions_en</w:t>
        </w:r>
      </w:hyperlink>
      <w:r>
        <w:t>.</w:t>
      </w:r>
    </w:p>
    <w:p w14:paraId="6D5B39D9" w14:textId="396EB79B" w:rsidR="00FF71F2" w:rsidRPr="002108FA" w:rsidRDefault="00FF71F2" w:rsidP="006D4191">
      <w:pPr>
        <w:pStyle w:val="Heading3"/>
      </w:pPr>
      <w:r>
        <w:t>Πώς γίνεται η πρόσβαση στις αιτήσεις;</w:t>
      </w:r>
    </w:p>
    <w:p w14:paraId="768EF9AB" w14:textId="660D18D8" w:rsidR="00FF71F2" w:rsidRPr="002108FA" w:rsidRDefault="00FF71F2" w:rsidP="006D4191">
      <w:pPr>
        <w:pStyle w:val="Heading4"/>
      </w:pPr>
      <w:r>
        <w:t>Κεντρικό CDMS</w:t>
      </w:r>
    </w:p>
    <w:p w14:paraId="1F105E7D" w14:textId="54A4D856" w:rsidR="00FF71F2" w:rsidRPr="002108FA" w:rsidRDefault="00FF71F2" w:rsidP="006D4191">
      <w:bookmarkStart w:id="16" w:name="_Hlk480387162"/>
      <w:r>
        <w:t>Οι τελωνειακοί υπάλληλοι πρέπει να ταυτοποιούνται από την υποδομή του CCN2. Οι χρήστες του CCN2 συνδέονται με συγκεκριμένο κράτος μέλος. Η ταυτοποίηση των χρηστών και η ανάθεση των ρόλων χρήστη είναι ευθύνη του αντίστοιχου κράτους μέλους με χρήση των εργαλείων του CCN2. Οι τελωνειακοί υπάλληλοι αποκτούν πρόσβαση στη διεπαφή χρήστη της εφαρμογής ΤΠ του CDMS μέσω του CCN2.</w:t>
      </w:r>
    </w:p>
    <w:p w14:paraId="52059675" w14:textId="01398208" w:rsidR="00FF71F2" w:rsidRPr="002108FA" w:rsidRDefault="00FF71F2" w:rsidP="006D4191">
      <w:r>
        <w:t>Οι τελωνειακοί υπάλληλοι μπορούν μόνο να θέσουν ερωτήματα, να συμβουλευτούν και/ή να τροποποιήσουν στοιχεία που σχετίζονται με τις αιτήσεις, άδειες και διαβουλεύσεις στις οποίες, αντίστοιχα, το κράτος μέλος τους εμπλέκεται, συμμετέχει στις διαβουλεύσεις ή αποτελεί τη DTCA. Επίσης, λαμβάνουν γνωστοποιήσεις στη διεπαφή χρήστη τελωνειακών υπαλλήλων που σχετίζεται με τις εν λόγω αιτήσεις, άδειες και διαβουλεύσεις.</w:t>
      </w:r>
    </w:p>
    <w:p w14:paraId="3B69F76C" w14:textId="1792D757" w:rsidR="00FF71F2" w:rsidRPr="002108FA" w:rsidRDefault="00FF71F2" w:rsidP="006D4191">
      <w:r>
        <w:t>Ο έλεγχος της πρόσβασης στις λειτουργίες αίτησης εξουσιοδοτείται περαιτέρω με βάση τον ρόλο χρήστη του υπαλλήλου. Οι ρόλοι χρήστη προσδιορίζονται με βάση τις υπηρεσίες του οργανισμού και εξουσιοδοτούν την πρόσβαση στις λειτουργίες που απαιτούνται για την εκτέλεση των απαιτούμενων ενεργειών ΤΠ. Ο ρόλος χρήστη παρέχει εξουσιοδότηση για όλα τα στοιχεία που ανήκουν στο κράτος μέλος του τελωνειακού υπαλλήλου. Μπορούν να χορηγηθούν πρόσθετοι ρόλοι ώστε να παρέχεται πρόσβαση στα στοιχεία της αίτησης ή της άδειας μόνο για ανάγνωση ή για τροποποίηση.</w:t>
      </w:r>
    </w:p>
    <w:p w14:paraId="6B45B9CE" w14:textId="2EA67036" w:rsidR="00FF71F2" w:rsidRPr="002108FA" w:rsidRDefault="00FF71F2" w:rsidP="006D4191">
      <w:r>
        <w:t xml:space="preserve">Στον </w:t>
      </w:r>
      <w:r>
        <w:fldChar w:fldCharType="begin"/>
      </w:r>
      <w:r>
        <w:instrText xml:space="preserve"> REF _Ref480442576 \h </w:instrText>
      </w:r>
      <w:r>
        <w:fldChar w:fldCharType="separate"/>
      </w:r>
      <w:r w:rsidR="00B66BEF">
        <w:t>Πίνακα</w:t>
      </w:r>
      <w:r>
        <w:t xml:space="preserve"> </w:t>
      </w:r>
      <w:r>
        <w:rPr>
          <w:noProof/>
        </w:rPr>
        <w:t>2</w:t>
      </w:r>
      <w:r>
        <w:fldChar w:fldCharType="end"/>
      </w:r>
      <w:r>
        <w:t xml:space="preserve"> απαριθμούνται οι διάφοροι ρόλοι που είναι διαθέσιμοι στο CDMS (σημειώνεται ότι οι ρόλοι ασφάλειας προσδιορίζονται επίσης σε επίπεδο CCN2). Υπάρχει χαρτογράφηση ένα προς ένα μεταξύ των ρόλων της COUI (διεπαφή χρήστη τελωνειακών υπαλλήλων) του CDMS και των ρόλων του CCN2. Σε αμφότερα τα περιβάλλοντα, η ονομασία του ρόλου είναι παρόμοια</w:t>
      </w:r>
      <w:r>
        <w:rPr>
          <w:rStyle w:val="FootnoteReference"/>
        </w:rPr>
        <w:footnoteReference w:id="2"/>
      </w:r>
      <w:r>
        <w:t xml:space="preserve"> και η περιγραφή της ροής εργασιών είναι πανομοιότυπη.</w:t>
      </w:r>
    </w:p>
    <w:p w14:paraId="6CF6104A" w14:textId="77777777" w:rsidR="00FF71F2" w:rsidRPr="002108FA" w:rsidRDefault="00FF71F2" w:rsidP="006D4191">
      <w:r>
        <w:t>Σε έναν τελωνειακό υπάλληλο μπορούν να δοθούν πολλοί ρόλοι.</w:t>
      </w:r>
    </w:p>
    <w:tbl>
      <w:tblPr>
        <w:tblStyle w:val="GridTable5Dark-Accent41"/>
        <w:tblW w:w="0" w:type="auto"/>
        <w:jc w:val="center"/>
        <w:tblLook w:val="0420" w:firstRow="1" w:lastRow="0" w:firstColumn="0" w:lastColumn="0" w:noHBand="0" w:noVBand="1"/>
      </w:tblPr>
      <w:tblGrid>
        <w:gridCol w:w="2354"/>
        <w:gridCol w:w="6934"/>
      </w:tblGrid>
      <w:tr w:rsidR="00FF71F2" w:rsidRPr="002108FA" w14:paraId="7C430F6A" w14:textId="77777777" w:rsidTr="00111D2C">
        <w:trPr>
          <w:cnfStyle w:val="100000000000" w:firstRow="1" w:lastRow="0" w:firstColumn="0" w:lastColumn="0" w:oddVBand="0" w:evenVBand="0" w:oddHBand="0" w:evenHBand="0" w:firstRowFirstColumn="0" w:firstRowLastColumn="0" w:lastRowFirstColumn="0" w:lastRowLastColumn="0"/>
          <w:tblHeader/>
          <w:jc w:val="center"/>
        </w:trPr>
        <w:tc>
          <w:tcPr>
            <w:tcW w:w="0" w:type="auto"/>
            <w:vAlign w:val="center"/>
          </w:tcPr>
          <w:p w14:paraId="36DBDBD9" w14:textId="77777777" w:rsidR="00FF71F2" w:rsidRPr="00DE58D4" w:rsidRDefault="00FF71F2" w:rsidP="006D4191">
            <w:pPr>
              <w:jc w:val="left"/>
              <w:rPr>
                <w:szCs w:val="18"/>
              </w:rPr>
            </w:pPr>
            <w:r>
              <w:t>Ονομασία ρόλου στο CDMS</w:t>
            </w:r>
          </w:p>
        </w:tc>
        <w:tc>
          <w:tcPr>
            <w:tcW w:w="0" w:type="auto"/>
            <w:vAlign w:val="center"/>
          </w:tcPr>
          <w:p w14:paraId="2B8DDC24" w14:textId="77777777" w:rsidR="00FF71F2" w:rsidRPr="002108FA" w:rsidRDefault="00FF71F2" w:rsidP="006D4191">
            <w:pPr>
              <w:jc w:val="left"/>
              <w:rPr>
                <w:szCs w:val="18"/>
              </w:rPr>
            </w:pPr>
            <w:r>
              <w:t>Περιγραφή ροής εργασιών</w:t>
            </w:r>
          </w:p>
        </w:tc>
      </w:tr>
      <w:tr w:rsidR="00FF71F2" w:rsidRPr="002108FA" w14:paraId="66518FA5" w14:textId="77777777" w:rsidTr="00FF71F2">
        <w:trPr>
          <w:cnfStyle w:val="000000100000" w:firstRow="0" w:lastRow="0" w:firstColumn="0" w:lastColumn="0" w:oddVBand="0" w:evenVBand="0" w:oddHBand="1" w:evenHBand="0" w:firstRowFirstColumn="0" w:firstRowLastColumn="0" w:lastRowFirstColumn="0" w:lastRowLastColumn="0"/>
          <w:jc w:val="center"/>
        </w:trPr>
        <w:tc>
          <w:tcPr>
            <w:tcW w:w="0" w:type="auto"/>
            <w:vAlign w:val="center"/>
          </w:tcPr>
          <w:p w14:paraId="33B35A82" w14:textId="77777777" w:rsidR="00FF71F2" w:rsidRPr="002108FA" w:rsidRDefault="00FF71F2" w:rsidP="006D4191">
            <w:pPr>
              <w:jc w:val="left"/>
              <w:rPr>
                <w:sz w:val="18"/>
                <w:szCs w:val="18"/>
              </w:rPr>
            </w:pPr>
            <w:r>
              <w:rPr>
                <w:sz w:val="18"/>
              </w:rPr>
              <w:t>Consultation (Διαβούλευση)</w:t>
            </w:r>
          </w:p>
        </w:tc>
        <w:tc>
          <w:tcPr>
            <w:tcW w:w="0" w:type="auto"/>
            <w:vAlign w:val="center"/>
          </w:tcPr>
          <w:p w14:paraId="02A3F097" w14:textId="77777777" w:rsidR="00FF71F2" w:rsidRPr="002108FA" w:rsidRDefault="00FF71F2" w:rsidP="006D4191">
            <w:pPr>
              <w:jc w:val="left"/>
              <w:rPr>
                <w:rFonts w:cs="Arial"/>
                <w:sz w:val="18"/>
                <w:szCs w:val="18"/>
              </w:rPr>
            </w:pPr>
            <w:r>
              <w:rPr>
                <w:color w:val="000000"/>
                <w:sz w:val="18"/>
              </w:rPr>
              <w:t>Στους χρήστες της COUI πρέπει να αποδίδεται αυτός ο ρόλος ώστε να έχουν πρόσβαση μόνο για ανάγνωση στις αιτήσεις/άδειες στην COUI. Ο χρήστης έχει τη δυνατότητα να θέτει ερωτήματα και να προβάλλει όλους τους τύπους δεδομένων ροής εργασιών που τυγχάνουν διαχείρισης στις εφαρμογές. Οι χρήστες της COUI μπορούν να προβάλλουν μόνο τις διαβουλεύσεις που έχουν ανατεθεί στη δική τους DTCA.</w:t>
            </w:r>
          </w:p>
        </w:tc>
      </w:tr>
      <w:tr w:rsidR="00FF71F2" w:rsidRPr="002108FA" w14:paraId="6D96A226" w14:textId="77777777" w:rsidTr="00FF71F2">
        <w:trPr>
          <w:jc w:val="center"/>
        </w:trPr>
        <w:tc>
          <w:tcPr>
            <w:tcW w:w="0" w:type="auto"/>
            <w:vAlign w:val="center"/>
          </w:tcPr>
          <w:p w14:paraId="498F903E" w14:textId="77777777" w:rsidR="00FF71F2" w:rsidRPr="002108FA" w:rsidRDefault="00FF71F2" w:rsidP="006D4191">
            <w:pPr>
              <w:jc w:val="left"/>
              <w:rPr>
                <w:sz w:val="18"/>
                <w:szCs w:val="18"/>
              </w:rPr>
            </w:pPr>
            <w:r>
              <w:rPr>
                <w:sz w:val="18"/>
              </w:rPr>
              <w:t>Accept Customs Applications (Αποδοχή τελωνειακών αιτήσεων)</w:t>
            </w:r>
          </w:p>
        </w:tc>
        <w:tc>
          <w:tcPr>
            <w:tcW w:w="0" w:type="auto"/>
            <w:vAlign w:val="center"/>
          </w:tcPr>
          <w:p w14:paraId="239D88D2" w14:textId="77777777" w:rsidR="00FF71F2" w:rsidRPr="002108FA" w:rsidRDefault="00FF71F2" w:rsidP="006D4191">
            <w:pPr>
              <w:jc w:val="left"/>
              <w:rPr>
                <w:rFonts w:cs="Arial"/>
                <w:sz w:val="18"/>
                <w:szCs w:val="18"/>
              </w:rPr>
            </w:pPr>
            <w:r>
              <w:rPr>
                <w:color w:val="000000"/>
                <w:sz w:val="18"/>
              </w:rPr>
              <w:t>Στους χρήστες της COUI πρέπει να αποδίδεται αυτός ο ρόλος ώστε να εκτελούν τη διαδικασία αποδοχής αίτησης. Η εν λόγω διαδικασία ξεκινά με την παραλαβή εντύπου αίτησης που περιλαμβάνει συμπληρωματικά έγγραφα, εφόσον απαιτούνται. Οι χρήστες της COUI εξουσιοδοτούνται για να αποδέχονται τελωνειακές αιτήσεις για τη δική τους DTCA με χρήση της COUI.</w:t>
            </w:r>
          </w:p>
        </w:tc>
      </w:tr>
      <w:tr w:rsidR="00FF71F2" w:rsidRPr="002108FA" w14:paraId="115D251B" w14:textId="77777777" w:rsidTr="00FF71F2">
        <w:trPr>
          <w:cnfStyle w:val="000000100000" w:firstRow="0" w:lastRow="0" w:firstColumn="0" w:lastColumn="0" w:oddVBand="0" w:evenVBand="0" w:oddHBand="1" w:evenHBand="0" w:firstRowFirstColumn="0" w:firstRowLastColumn="0" w:lastRowFirstColumn="0" w:lastRowLastColumn="0"/>
          <w:jc w:val="center"/>
        </w:trPr>
        <w:tc>
          <w:tcPr>
            <w:tcW w:w="0" w:type="auto"/>
            <w:vAlign w:val="center"/>
          </w:tcPr>
          <w:p w14:paraId="46D77F0B" w14:textId="77777777" w:rsidR="00FF71F2" w:rsidRPr="002108FA" w:rsidRDefault="00FF71F2" w:rsidP="006D4191">
            <w:pPr>
              <w:jc w:val="left"/>
              <w:rPr>
                <w:sz w:val="18"/>
                <w:szCs w:val="18"/>
              </w:rPr>
            </w:pPr>
            <w:r>
              <w:rPr>
                <w:sz w:val="18"/>
              </w:rPr>
              <w:t>Take Customs Decisions (Λήψη τελωνειακών αποφάσεων)</w:t>
            </w:r>
          </w:p>
        </w:tc>
        <w:tc>
          <w:tcPr>
            <w:tcW w:w="0" w:type="auto"/>
            <w:vAlign w:val="center"/>
          </w:tcPr>
          <w:p w14:paraId="5431B0EC" w14:textId="77777777" w:rsidR="00FF71F2" w:rsidRPr="002108FA" w:rsidRDefault="00FF71F2" w:rsidP="006D4191">
            <w:pPr>
              <w:jc w:val="left"/>
              <w:rPr>
                <w:rFonts w:cs="Arial"/>
                <w:sz w:val="18"/>
                <w:szCs w:val="18"/>
              </w:rPr>
            </w:pPr>
            <w:r>
              <w:rPr>
                <w:color w:val="000000"/>
                <w:sz w:val="18"/>
              </w:rPr>
              <w:t>Στους χρήστες της COUI πρέπει να αποδίδεται αυτός ο ρόλος ώστε να εκτελούν τη διαδικασία λήψης απόφασης. Η εν λόγω διαδικασία ξεκινά όταν γίνεται αποδοχή μιας αίτησης κατά τη διεργασία αποδοχής αίτησης. Οι χρήστες της COUI εξουσιοδοτούνται για να λαμβάνουν τελωνειακές αποφάσεις για τη δική τους DTCA με χρήση της COUI.</w:t>
            </w:r>
          </w:p>
        </w:tc>
      </w:tr>
      <w:tr w:rsidR="00FF71F2" w:rsidRPr="002108FA" w14:paraId="093C82C9" w14:textId="77777777" w:rsidTr="00FF71F2">
        <w:trPr>
          <w:jc w:val="center"/>
        </w:trPr>
        <w:tc>
          <w:tcPr>
            <w:tcW w:w="0" w:type="auto"/>
            <w:vAlign w:val="center"/>
          </w:tcPr>
          <w:p w14:paraId="3D652858" w14:textId="77777777" w:rsidR="00FF71F2" w:rsidRPr="002108FA" w:rsidRDefault="00FF71F2" w:rsidP="006D4191">
            <w:pPr>
              <w:jc w:val="left"/>
              <w:rPr>
                <w:sz w:val="18"/>
                <w:szCs w:val="18"/>
              </w:rPr>
            </w:pPr>
            <w:r>
              <w:rPr>
                <w:sz w:val="18"/>
              </w:rPr>
              <w:t>Re-Assess Customs Authorisations (Επανεξέταση τελωνειακών αδειών)</w:t>
            </w:r>
          </w:p>
        </w:tc>
        <w:tc>
          <w:tcPr>
            <w:tcW w:w="0" w:type="auto"/>
            <w:vAlign w:val="center"/>
          </w:tcPr>
          <w:p w14:paraId="6CC97FE6" w14:textId="2747A1C5" w:rsidR="00FF71F2" w:rsidRPr="002108FA" w:rsidRDefault="00FF71F2" w:rsidP="006D4191">
            <w:pPr>
              <w:jc w:val="left"/>
              <w:rPr>
                <w:rFonts w:cs="Arial"/>
                <w:sz w:val="18"/>
                <w:szCs w:val="18"/>
              </w:rPr>
            </w:pPr>
            <w:r>
              <w:rPr>
                <w:color w:val="000000"/>
                <w:sz w:val="18"/>
              </w:rPr>
              <w:t xml:space="preserve">Στους χρήστες της COUI πρέπει να αποδίδεται αυτός ο ρόλος ώστε να εκτελούν τη διαδικασία επανεξέτασης απόφασης. Η εν λόγω διαδικασία ξεκινά στις παρακάτω περιπτώσεις: </w:t>
            </w:r>
            <w:r>
              <w:rPr>
                <w:rFonts w:cs="Arial"/>
                <w:color w:val="000000"/>
                <w:sz w:val="18"/>
                <w:szCs w:val="18"/>
              </w:rPr>
              <w:br/>
            </w:r>
            <w:r>
              <w:rPr>
                <w:color w:val="000000"/>
                <w:sz w:val="18"/>
              </w:rPr>
              <w:t>- Όταν λαμβάνονται πληροφορίες από τον δικαιούχο, οι οποίες ενδέχεται να επηρεάσουν τη συνέχιση ή το περιεχόμενο της απόφασης·</w:t>
            </w:r>
            <w:r>
              <w:rPr>
                <w:rFonts w:cs="Arial"/>
                <w:color w:val="000000"/>
                <w:sz w:val="18"/>
                <w:szCs w:val="18"/>
              </w:rPr>
              <w:br/>
            </w:r>
            <w:r>
              <w:rPr>
                <w:color w:val="000000"/>
                <w:sz w:val="18"/>
              </w:rPr>
              <w:t>- Όταν ο τελωνειακός υπάλληλος καταχώρισε πρόθεση για επανεξέταση·</w:t>
            </w:r>
            <w:r>
              <w:rPr>
                <w:rFonts w:cs="Arial"/>
                <w:color w:val="000000"/>
                <w:sz w:val="18"/>
                <w:szCs w:val="18"/>
              </w:rPr>
              <w:br/>
            </w:r>
            <w:r>
              <w:rPr>
                <w:color w:val="000000"/>
                <w:sz w:val="18"/>
              </w:rPr>
              <w:t>- Όταν λαμβάνονται πληροφορίες από άλλη αρχή για την επανεξέταση της απόφασης.</w:t>
            </w:r>
            <w:r>
              <w:rPr>
                <w:rFonts w:cs="Arial"/>
                <w:color w:val="000000"/>
                <w:sz w:val="18"/>
                <w:szCs w:val="18"/>
              </w:rPr>
              <w:br/>
            </w:r>
            <w:r>
              <w:rPr>
                <w:color w:val="000000"/>
                <w:sz w:val="18"/>
              </w:rPr>
              <w:t>Οι χρήστες της COUI εξουσιοδοτούνται για να επανεξετάζουν τελωνειακές άδειες για τη δική τους DTCA με χρήση της COUI.</w:t>
            </w:r>
          </w:p>
        </w:tc>
      </w:tr>
      <w:tr w:rsidR="00FF71F2" w:rsidRPr="002108FA" w14:paraId="520BFA8B" w14:textId="77777777" w:rsidTr="00FF71F2">
        <w:trPr>
          <w:cnfStyle w:val="000000100000" w:firstRow="0" w:lastRow="0" w:firstColumn="0" w:lastColumn="0" w:oddVBand="0" w:evenVBand="0" w:oddHBand="1" w:evenHBand="0" w:firstRowFirstColumn="0" w:firstRowLastColumn="0" w:lastRowFirstColumn="0" w:lastRowLastColumn="0"/>
          <w:jc w:val="center"/>
        </w:trPr>
        <w:tc>
          <w:tcPr>
            <w:tcW w:w="0" w:type="auto"/>
            <w:vAlign w:val="center"/>
          </w:tcPr>
          <w:p w14:paraId="7171FF9B" w14:textId="77777777" w:rsidR="00FF71F2" w:rsidRPr="002108FA" w:rsidRDefault="00FF71F2" w:rsidP="006D4191">
            <w:pPr>
              <w:jc w:val="left"/>
              <w:rPr>
                <w:sz w:val="18"/>
                <w:szCs w:val="18"/>
              </w:rPr>
            </w:pPr>
            <w:r>
              <w:rPr>
                <w:sz w:val="18"/>
              </w:rPr>
              <w:t>Suspend Customs Authorisations (Αναστολή τελωνειακών αδειών)</w:t>
            </w:r>
          </w:p>
        </w:tc>
        <w:tc>
          <w:tcPr>
            <w:tcW w:w="0" w:type="auto"/>
            <w:vAlign w:val="center"/>
          </w:tcPr>
          <w:p w14:paraId="3D67CC0E" w14:textId="58EF0C3E" w:rsidR="00FF71F2" w:rsidRPr="002108FA" w:rsidRDefault="00FF71F2" w:rsidP="006D4191">
            <w:pPr>
              <w:jc w:val="left"/>
              <w:rPr>
                <w:rFonts w:cs="Arial"/>
                <w:sz w:val="18"/>
                <w:szCs w:val="18"/>
              </w:rPr>
            </w:pPr>
            <w:r>
              <w:rPr>
                <w:color w:val="000000"/>
                <w:sz w:val="18"/>
              </w:rPr>
              <w:t xml:space="preserve">Στους χρήστες της COUI πρέπει να αποδίδεται αυτός ο ρόλος ώστε να εκτελούν τη διαδικασία αναστολής απόφασης. Η εν λόγω διαδικασία ξεκινά στις παρακάτω περιπτώσεις: </w:t>
            </w:r>
            <w:r>
              <w:rPr>
                <w:rFonts w:cs="Arial"/>
                <w:color w:val="000000"/>
                <w:sz w:val="18"/>
                <w:szCs w:val="18"/>
              </w:rPr>
              <w:br/>
            </w:r>
            <w:r>
              <w:rPr>
                <w:color w:val="000000"/>
                <w:sz w:val="18"/>
              </w:rPr>
              <w:t>- Όταν η αρχή έχει επαρκείς λόγους να πιστεύει ότι η απόφαση πρέπει να ανακληθεί, να τροποποιηθεί ή να ακυρωθεί·</w:t>
            </w:r>
            <w:r>
              <w:rPr>
                <w:rFonts w:cs="Arial"/>
                <w:color w:val="000000"/>
                <w:sz w:val="18"/>
                <w:szCs w:val="18"/>
              </w:rPr>
              <w:br/>
            </w:r>
            <w:r>
              <w:rPr>
                <w:color w:val="000000"/>
                <w:sz w:val="18"/>
              </w:rPr>
              <w:t>- Όταν η επανεξετασθείσα απόφαση απαιτεί ανάκληση της απόφασης·</w:t>
            </w:r>
            <w:r>
              <w:rPr>
                <w:rFonts w:cs="Arial"/>
                <w:color w:val="000000"/>
                <w:sz w:val="18"/>
                <w:szCs w:val="18"/>
              </w:rPr>
              <w:br/>
            </w:r>
            <w:r>
              <w:rPr>
                <w:color w:val="000000"/>
                <w:sz w:val="18"/>
              </w:rPr>
              <w:t>- Όταν ο δικαιούχος υπέβαλε αίτηση αναστολής με μέτρα και προθεσμία λήψης αυτών των μέτρων, η διαδικασία ξεκινά για την αρμόδια για τη λήψη απόφασης τελωνειακή αρχή·</w:t>
            </w:r>
            <w:r>
              <w:rPr>
                <w:rFonts w:cs="Arial"/>
                <w:color w:val="000000"/>
                <w:sz w:val="18"/>
                <w:szCs w:val="18"/>
              </w:rPr>
              <w:br/>
            </w:r>
            <w:r>
              <w:rPr>
                <w:color w:val="000000"/>
                <w:sz w:val="18"/>
              </w:rPr>
              <w:t>- Όταν η αρχή θεωρεί ότι η εκπλήρωση των προϋποθέσεων που προβλέπονται για την απόφαση ή η συμμόρφωση με τις υποχρεώσεις που επιβάλλονται βάσει της εν λόγω απόφασης μπορεί να διασφαλιστεί με λήψη μέτρων από τον δικαιούχο της απόφασης.</w:t>
            </w:r>
            <w:r>
              <w:rPr>
                <w:rFonts w:cs="Arial"/>
                <w:color w:val="000000"/>
                <w:sz w:val="18"/>
                <w:szCs w:val="18"/>
              </w:rPr>
              <w:br/>
            </w:r>
            <w:r>
              <w:rPr>
                <w:color w:val="000000"/>
                <w:sz w:val="18"/>
              </w:rPr>
              <w:t>Οι χρήστες της COUI εξουσιοδοτούνται για να αναστέλλουν τελωνειακές άδειες για τη δική τους DTCA με χρήση της COUI.</w:t>
            </w:r>
          </w:p>
        </w:tc>
      </w:tr>
      <w:tr w:rsidR="00FF71F2" w:rsidRPr="002108FA" w14:paraId="44547714" w14:textId="77777777" w:rsidTr="00FF71F2">
        <w:trPr>
          <w:jc w:val="center"/>
        </w:trPr>
        <w:tc>
          <w:tcPr>
            <w:tcW w:w="0" w:type="auto"/>
            <w:vAlign w:val="center"/>
          </w:tcPr>
          <w:p w14:paraId="30978EF3" w14:textId="77777777" w:rsidR="00FF71F2" w:rsidRPr="002108FA" w:rsidRDefault="00FF71F2" w:rsidP="006D4191">
            <w:pPr>
              <w:jc w:val="left"/>
              <w:rPr>
                <w:sz w:val="18"/>
                <w:szCs w:val="18"/>
              </w:rPr>
            </w:pPr>
            <w:r>
              <w:rPr>
                <w:sz w:val="18"/>
              </w:rPr>
              <w:t>End Suspension (Διακοπή αναστολής)</w:t>
            </w:r>
          </w:p>
        </w:tc>
        <w:tc>
          <w:tcPr>
            <w:tcW w:w="0" w:type="auto"/>
            <w:vAlign w:val="center"/>
          </w:tcPr>
          <w:p w14:paraId="4153BBB2" w14:textId="59344D6C" w:rsidR="00FF71F2" w:rsidRPr="002108FA" w:rsidRDefault="00FF71F2" w:rsidP="006D4191">
            <w:pPr>
              <w:jc w:val="left"/>
              <w:rPr>
                <w:rFonts w:cs="Arial"/>
                <w:sz w:val="18"/>
                <w:szCs w:val="18"/>
              </w:rPr>
            </w:pPr>
            <w:r>
              <w:rPr>
                <w:color w:val="000000"/>
                <w:sz w:val="18"/>
              </w:rPr>
              <w:t xml:space="preserve">Στους χρήστες της COUI πρέπει να αποδίδεται αυτός ο ρόλος ώστε να εκτελούν τη διαδικασία διακοπής της αναστολής. Η εν λόγω διαδικασία ξεκινά στις παρακάτω περιπτώσεις: </w:t>
            </w:r>
            <w:r>
              <w:rPr>
                <w:rFonts w:cs="Arial"/>
                <w:color w:val="000000"/>
                <w:sz w:val="18"/>
                <w:szCs w:val="18"/>
              </w:rPr>
              <w:br/>
            </w:r>
            <w:r>
              <w:rPr>
                <w:color w:val="000000"/>
                <w:sz w:val="18"/>
              </w:rPr>
              <w:t>- Όταν λήξει η προθεσμία για να διαπιστωθεί αν συντρέχουν προϋποθέσεις ακύρωσης, ανάκλησης ή τροποποίησης·</w:t>
            </w:r>
            <w:r>
              <w:rPr>
                <w:rFonts w:cs="Arial"/>
                <w:color w:val="000000"/>
                <w:sz w:val="18"/>
                <w:szCs w:val="18"/>
              </w:rPr>
              <w:br/>
            </w:r>
            <w:r>
              <w:rPr>
                <w:color w:val="000000"/>
                <w:sz w:val="18"/>
              </w:rPr>
              <w:t>- Όταν μια ανασταλείσα απόφαση δεν πληροί τις προϋποθέσεις ανάκλησης, ακύρωσης ή τροποποίησης·</w:t>
            </w:r>
            <w:r>
              <w:rPr>
                <w:rFonts w:cs="Arial"/>
                <w:color w:val="000000"/>
                <w:sz w:val="18"/>
                <w:szCs w:val="18"/>
              </w:rPr>
              <w:br/>
            </w:r>
            <w:r>
              <w:rPr>
                <w:color w:val="000000"/>
                <w:sz w:val="18"/>
              </w:rPr>
              <w:t>- Όταν λήξει η προθεσμία για τον καθορισμό του κατά πόσον τα μέτρα πληρούν τις προϋποθέσεις ή συμμορφώνονται με τις υποχρεώσεις·</w:t>
            </w:r>
            <w:r>
              <w:rPr>
                <w:rFonts w:cs="Arial"/>
                <w:color w:val="000000"/>
                <w:sz w:val="18"/>
                <w:szCs w:val="18"/>
              </w:rPr>
              <w:br/>
            </w:r>
            <w:r>
              <w:rPr>
                <w:color w:val="000000"/>
                <w:sz w:val="18"/>
              </w:rPr>
              <w:t>- Όταν ο δικαιούχος έλαβε, προς ικανοποίηση της αρμόδιας για τη λήψη απόφασης τελωνειακής αρχής, τα αναγκαία μέτρα για την εκπλήρωση των προϋποθέσεων ή συμμορφώνεται με τις υποχρεώσεις·</w:t>
            </w:r>
            <w:r>
              <w:rPr>
                <w:rFonts w:cs="Arial"/>
                <w:color w:val="000000"/>
                <w:sz w:val="18"/>
                <w:szCs w:val="18"/>
              </w:rPr>
              <w:br/>
            </w:r>
            <w:r>
              <w:rPr>
                <w:color w:val="000000"/>
                <w:sz w:val="18"/>
              </w:rPr>
              <w:t>- Όταν τέθηκε σε ισχύ η τροποποίηση ανασταλείσας απόφασης·</w:t>
            </w:r>
            <w:r>
              <w:rPr>
                <w:rFonts w:cs="Arial"/>
                <w:color w:val="000000"/>
                <w:sz w:val="18"/>
                <w:szCs w:val="18"/>
              </w:rPr>
              <w:br/>
            </w:r>
            <w:r>
              <w:rPr>
                <w:color w:val="000000"/>
                <w:sz w:val="18"/>
              </w:rPr>
              <w:t>Οι χρήστες της COUI εξουσιοδοτούνται για να διακόπτουν την αναστολή για τη δική τους DTCA με χρήση της COUI.</w:t>
            </w:r>
          </w:p>
        </w:tc>
      </w:tr>
      <w:tr w:rsidR="00FF71F2" w:rsidRPr="002108FA" w14:paraId="5235E387" w14:textId="77777777" w:rsidTr="00FF71F2">
        <w:trPr>
          <w:cnfStyle w:val="000000100000" w:firstRow="0" w:lastRow="0" w:firstColumn="0" w:lastColumn="0" w:oddVBand="0" w:evenVBand="0" w:oddHBand="1" w:evenHBand="0" w:firstRowFirstColumn="0" w:firstRowLastColumn="0" w:lastRowFirstColumn="0" w:lastRowLastColumn="0"/>
          <w:jc w:val="center"/>
        </w:trPr>
        <w:tc>
          <w:tcPr>
            <w:tcW w:w="0" w:type="auto"/>
            <w:vAlign w:val="center"/>
          </w:tcPr>
          <w:p w14:paraId="776904D1" w14:textId="77777777" w:rsidR="00FF71F2" w:rsidRPr="002108FA" w:rsidRDefault="00FF71F2" w:rsidP="006D4191">
            <w:pPr>
              <w:jc w:val="left"/>
              <w:rPr>
                <w:sz w:val="18"/>
                <w:szCs w:val="18"/>
              </w:rPr>
            </w:pPr>
            <w:r>
              <w:rPr>
                <w:sz w:val="18"/>
              </w:rPr>
              <w:t>Amend Customs Authorisations (Τροποποίηση τελωνειακών αδειών)</w:t>
            </w:r>
          </w:p>
        </w:tc>
        <w:tc>
          <w:tcPr>
            <w:tcW w:w="0" w:type="auto"/>
            <w:vAlign w:val="center"/>
          </w:tcPr>
          <w:p w14:paraId="12EABBDE" w14:textId="50B9BD39" w:rsidR="00FF71F2" w:rsidRPr="002108FA" w:rsidRDefault="00FF71F2" w:rsidP="00111D2C">
            <w:pPr>
              <w:jc w:val="left"/>
              <w:rPr>
                <w:rFonts w:cs="Arial"/>
                <w:sz w:val="18"/>
                <w:szCs w:val="18"/>
              </w:rPr>
            </w:pPr>
            <w:r>
              <w:rPr>
                <w:color w:val="000000"/>
                <w:sz w:val="18"/>
              </w:rPr>
              <w:t xml:space="preserve">Στους χρήστες της COUI πρέπει να αποδίδεται αυτός ο ρόλος ώστε να εκτελούν τη διαδικασία τροποποίησης απόφασης. Η εν λόγω διαδικασία ξεκινά στις παρακάτω περιπτώσεις: </w:t>
            </w:r>
            <w:r>
              <w:rPr>
                <w:rFonts w:cs="Arial"/>
                <w:color w:val="000000"/>
                <w:sz w:val="18"/>
                <w:szCs w:val="18"/>
              </w:rPr>
              <w:br/>
            </w:r>
            <w:r>
              <w:rPr>
                <w:color w:val="000000"/>
                <w:sz w:val="18"/>
              </w:rPr>
              <w:t>- Όταν ο δικαιούχος της άδειας επιθυμεί να τροποποιήσει την άδεια, μπορεί να υποβάλει αίτηση τροποποίησης στην αρμόδια για τη λήψη απόφασης τελωνειακή αρχή·</w:t>
            </w:r>
            <w:r>
              <w:rPr>
                <w:rFonts w:cs="Arial"/>
                <w:color w:val="000000"/>
                <w:sz w:val="18"/>
                <w:szCs w:val="18"/>
              </w:rPr>
              <w:br/>
            </w:r>
            <w:r>
              <w:rPr>
                <w:color w:val="000000"/>
                <w:sz w:val="18"/>
              </w:rPr>
              <w:t>- Όταν μία ή περισσότερες προϋποθέσεις για τη χορήγηση άδειας δεν πληρούνταν ή δεν πληρούνται πλέον ή όταν μια απόφαση δεν συμμορφώνεται με την ισχύουσα νομοθεσία, ο τελωνειακός υπάλληλος καταχωρίζει τους λόγους για την πρόθεση τροποποίησης της συγκεκριμένης απόφασης.</w:t>
            </w:r>
            <w:r>
              <w:rPr>
                <w:rFonts w:cs="Arial"/>
                <w:color w:val="000000"/>
                <w:sz w:val="18"/>
                <w:szCs w:val="18"/>
              </w:rPr>
              <w:br/>
            </w:r>
            <w:r>
              <w:rPr>
                <w:color w:val="000000"/>
                <w:sz w:val="18"/>
              </w:rPr>
              <w:t>Επιπλέον, ο τελωνειακός υπάλληλος καταχωρίζει την προβλεπόμενη τροποποίηση. Η τροποποίηση αυτή αφορά τις πραγματικές τιμές στις τελωνειακές αποφάσεις που επιθυμεί να αλλάξει·</w:t>
            </w:r>
            <w:r>
              <w:rPr>
                <w:rFonts w:cs="Arial"/>
                <w:color w:val="000000"/>
                <w:sz w:val="18"/>
                <w:szCs w:val="18"/>
              </w:rPr>
              <w:br/>
            </w:r>
            <w:r>
              <w:rPr>
                <w:color w:val="000000"/>
                <w:sz w:val="18"/>
              </w:rPr>
              <w:t>- Όταν η διαδικασία επανεξέτασης της απόφασης, αναστολής της απόφασης ή ακύρωσης της απόφασης λήγει και απαιτείται τροποποίηση, ενεργοποιείται η διαδικασία τροποποίησης απόφασης.</w:t>
            </w:r>
            <w:r>
              <w:rPr>
                <w:rFonts w:cs="Arial"/>
                <w:color w:val="000000"/>
                <w:sz w:val="18"/>
                <w:szCs w:val="18"/>
              </w:rPr>
              <w:br/>
            </w:r>
            <w:r>
              <w:rPr>
                <w:color w:val="000000"/>
                <w:sz w:val="18"/>
              </w:rPr>
              <w:t>Οι χρήστες της COUI εξουσιοδοτούνται για να τροποποιούν τελωνειακές άδειες για τη δική τους DTCA με χρήση της COUI.</w:t>
            </w:r>
          </w:p>
        </w:tc>
      </w:tr>
      <w:tr w:rsidR="00FF71F2" w:rsidRPr="002108FA" w14:paraId="6EDCB591" w14:textId="77777777" w:rsidTr="00FF71F2">
        <w:trPr>
          <w:jc w:val="center"/>
        </w:trPr>
        <w:tc>
          <w:tcPr>
            <w:tcW w:w="0" w:type="auto"/>
            <w:vAlign w:val="center"/>
          </w:tcPr>
          <w:p w14:paraId="78668E80" w14:textId="77777777" w:rsidR="00FF71F2" w:rsidRPr="002108FA" w:rsidRDefault="00FF71F2" w:rsidP="006D4191">
            <w:pPr>
              <w:jc w:val="left"/>
              <w:rPr>
                <w:sz w:val="18"/>
                <w:szCs w:val="18"/>
              </w:rPr>
            </w:pPr>
            <w:r>
              <w:rPr>
                <w:sz w:val="18"/>
              </w:rPr>
              <w:t>Revoke Customs Authorisations (Ανάκληση τελωνειακών αδειών)</w:t>
            </w:r>
          </w:p>
        </w:tc>
        <w:tc>
          <w:tcPr>
            <w:tcW w:w="0" w:type="auto"/>
            <w:vAlign w:val="center"/>
          </w:tcPr>
          <w:p w14:paraId="1175CA40" w14:textId="2644D0AE" w:rsidR="00FF71F2" w:rsidRPr="002108FA" w:rsidRDefault="00FF71F2" w:rsidP="006D4191">
            <w:pPr>
              <w:jc w:val="left"/>
              <w:rPr>
                <w:rFonts w:cs="Arial"/>
                <w:sz w:val="18"/>
                <w:szCs w:val="18"/>
              </w:rPr>
            </w:pPr>
            <w:r>
              <w:rPr>
                <w:color w:val="000000"/>
                <w:sz w:val="18"/>
              </w:rPr>
              <w:t xml:space="preserve">Στους χρήστες της COUI πρέπει να αποδίδεται αυτός ο ρόλος ώστε να εκτελούν τη διαδικασία ανάκλησης απόφασης. Η εν λόγω διαδικασία ξεκινά στις παρακάτω περιπτώσεις: </w:t>
            </w:r>
            <w:r>
              <w:rPr>
                <w:rFonts w:cs="Arial"/>
                <w:color w:val="000000"/>
                <w:sz w:val="18"/>
                <w:szCs w:val="18"/>
              </w:rPr>
              <w:br/>
            </w:r>
            <w:r>
              <w:rPr>
                <w:color w:val="000000"/>
                <w:sz w:val="18"/>
              </w:rPr>
              <w:t>- Όταν ο τελωνειακός υπάλληλος θεωρεί ότι απαιτείται ανάκληση, ο τελωνειακός υπάλληλος καταχωρίζει την πρόθεση ανάκλησης της άδειας στο σύστημα τελωνειακών αποφάσεων·</w:t>
            </w:r>
            <w:r>
              <w:rPr>
                <w:rFonts w:cs="Arial"/>
                <w:color w:val="000000"/>
                <w:sz w:val="18"/>
                <w:szCs w:val="18"/>
              </w:rPr>
              <w:br/>
            </w:r>
            <w:r>
              <w:rPr>
                <w:color w:val="000000"/>
                <w:sz w:val="18"/>
              </w:rPr>
              <w:t>- Όταν η διαδικασία ακύρωσης της απόφασης, επανεξέτασης της απόφασης ή αναστολής της απόφασης λήγει και απαιτείται ανάκληση·</w:t>
            </w:r>
            <w:r>
              <w:rPr>
                <w:rFonts w:cs="Arial"/>
                <w:color w:val="000000"/>
                <w:sz w:val="18"/>
                <w:szCs w:val="18"/>
              </w:rPr>
              <w:br/>
            </w:r>
            <w:r>
              <w:rPr>
                <w:color w:val="000000"/>
                <w:sz w:val="18"/>
              </w:rPr>
              <w:t>- Όταν ο δικαιούχος της άδειας υποβάλλει αίτηση ανάκλησης της άδειας.</w:t>
            </w:r>
            <w:r>
              <w:rPr>
                <w:rFonts w:cs="Arial"/>
                <w:color w:val="000000"/>
                <w:sz w:val="18"/>
                <w:szCs w:val="18"/>
              </w:rPr>
              <w:br/>
            </w:r>
            <w:r>
              <w:rPr>
                <w:color w:val="000000"/>
                <w:sz w:val="18"/>
              </w:rPr>
              <w:t>Οι χρήστες της COUI εξουσιοδοτούνται για να ανακαλούν τελωνειακές άδειες για τη δική τους DTCA με χρήση της COUI.</w:t>
            </w:r>
          </w:p>
        </w:tc>
      </w:tr>
      <w:tr w:rsidR="00FF71F2" w:rsidRPr="002108FA" w14:paraId="01E8E32A" w14:textId="77777777" w:rsidTr="00FF71F2">
        <w:trPr>
          <w:cnfStyle w:val="000000100000" w:firstRow="0" w:lastRow="0" w:firstColumn="0" w:lastColumn="0" w:oddVBand="0" w:evenVBand="0" w:oddHBand="1" w:evenHBand="0" w:firstRowFirstColumn="0" w:firstRowLastColumn="0" w:lastRowFirstColumn="0" w:lastRowLastColumn="0"/>
          <w:jc w:val="center"/>
        </w:trPr>
        <w:tc>
          <w:tcPr>
            <w:tcW w:w="0" w:type="auto"/>
            <w:vAlign w:val="center"/>
          </w:tcPr>
          <w:p w14:paraId="242E5DFC" w14:textId="77777777" w:rsidR="00FF71F2" w:rsidRPr="002108FA" w:rsidRDefault="00FF71F2" w:rsidP="006D4191">
            <w:pPr>
              <w:jc w:val="left"/>
              <w:rPr>
                <w:sz w:val="18"/>
                <w:szCs w:val="18"/>
              </w:rPr>
            </w:pPr>
            <w:r>
              <w:rPr>
                <w:sz w:val="18"/>
              </w:rPr>
              <w:t>Annul Customs Authorisations (Ακύρωση τελωνειακών αδειών)</w:t>
            </w:r>
          </w:p>
        </w:tc>
        <w:tc>
          <w:tcPr>
            <w:tcW w:w="0" w:type="auto"/>
            <w:vAlign w:val="center"/>
          </w:tcPr>
          <w:p w14:paraId="21D84C03" w14:textId="48D2B33B" w:rsidR="00FF71F2" w:rsidRPr="002108FA" w:rsidRDefault="00FF71F2" w:rsidP="006D4191">
            <w:pPr>
              <w:jc w:val="left"/>
              <w:rPr>
                <w:rFonts w:cs="Arial"/>
                <w:sz w:val="18"/>
                <w:szCs w:val="18"/>
              </w:rPr>
            </w:pPr>
            <w:r>
              <w:rPr>
                <w:color w:val="000000"/>
                <w:sz w:val="18"/>
              </w:rPr>
              <w:t xml:space="preserve">Στους χρήστες της COUI πρέπει να αποδίδεται αυτός ο ρόλος ώστε να εκτελούν τη διαδικασία ακύρωσης απόφασης. Η εν λόγω διαδικασία ξεκινά στις παρακάτω περιπτώσεις: </w:t>
            </w:r>
            <w:r>
              <w:rPr>
                <w:rFonts w:cs="Arial"/>
                <w:color w:val="000000"/>
                <w:sz w:val="18"/>
                <w:szCs w:val="18"/>
              </w:rPr>
              <w:br/>
            </w:r>
            <w:r>
              <w:rPr>
                <w:color w:val="000000"/>
                <w:sz w:val="18"/>
              </w:rPr>
              <w:t>- Όταν ο τελωνειακός υπάλληλος διαπιστώνει ότι η απόφαση δεν συμμορφώνεται πλέον με την τελωνειακή νομοθεσία ή όταν η απόφαση βασίζεται σε ανακριβείς/ελλιπείς πληροφορίες αιτούντος ή όταν το αποτέλεσμα της επανεξέτασης υποδεικνύει ότι η απόφαση πρέπει να ακυρωθεί·</w:t>
            </w:r>
            <w:r>
              <w:rPr>
                <w:rFonts w:cs="Arial"/>
                <w:color w:val="000000"/>
                <w:sz w:val="18"/>
                <w:szCs w:val="18"/>
              </w:rPr>
              <w:br/>
            </w:r>
            <w:r>
              <w:rPr>
                <w:color w:val="000000"/>
                <w:sz w:val="18"/>
              </w:rPr>
              <w:t>- Όταν το αποτέλεσμα της επανεξέτασης ή αναστολής υποδεικνύει ότι η απόφαση πρέπει να ακυρωθεί, ο τελωνειακός υπάλληλος καταχωρίζει την πρόθεση ακύρωσης της απόφασης.</w:t>
            </w:r>
            <w:r>
              <w:rPr>
                <w:rFonts w:cs="Arial"/>
                <w:color w:val="000000"/>
                <w:sz w:val="18"/>
                <w:szCs w:val="18"/>
              </w:rPr>
              <w:br/>
            </w:r>
            <w:r>
              <w:rPr>
                <w:color w:val="000000"/>
                <w:sz w:val="18"/>
              </w:rPr>
              <w:t>Οι χρήστες της COUI εξουσιοδοτούνται για να ακυρώνουν τελωνειακές άδειες για τη δική τους DTCA με χρήση της COUI.</w:t>
            </w:r>
          </w:p>
        </w:tc>
      </w:tr>
      <w:tr w:rsidR="00FF71F2" w:rsidRPr="002108FA" w14:paraId="7BE9AFA3" w14:textId="77777777" w:rsidTr="00FF71F2">
        <w:trPr>
          <w:jc w:val="center"/>
        </w:trPr>
        <w:tc>
          <w:tcPr>
            <w:tcW w:w="0" w:type="auto"/>
            <w:vAlign w:val="center"/>
          </w:tcPr>
          <w:p w14:paraId="5E5F6E17" w14:textId="77777777" w:rsidR="00FF71F2" w:rsidRPr="002108FA" w:rsidRDefault="00FF71F2" w:rsidP="006D4191">
            <w:pPr>
              <w:jc w:val="left"/>
              <w:rPr>
                <w:sz w:val="18"/>
                <w:szCs w:val="18"/>
              </w:rPr>
            </w:pPr>
            <w:r>
              <w:rPr>
                <w:sz w:val="18"/>
              </w:rPr>
              <w:t>Handle Consultation Requests (Διεκπεραίωση αιτημάτων διαβούλευσης)</w:t>
            </w:r>
          </w:p>
        </w:tc>
        <w:tc>
          <w:tcPr>
            <w:tcW w:w="0" w:type="auto"/>
            <w:vAlign w:val="center"/>
          </w:tcPr>
          <w:p w14:paraId="0E0F4C2A" w14:textId="5C961F2D" w:rsidR="00FF71F2" w:rsidRPr="002108FA" w:rsidRDefault="00FF71F2" w:rsidP="006D4191">
            <w:pPr>
              <w:jc w:val="left"/>
              <w:rPr>
                <w:rFonts w:cs="Arial"/>
                <w:sz w:val="18"/>
                <w:szCs w:val="18"/>
              </w:rPr>
            </w:pPr>
            <w:r>
              <w:rPr>
                <w:color w:val="000000"/>
                <w:sz w:val="18"/>
              </w:rPr>
              <w:t>Στους χρήστες της COUI πρέπει να αποδίδεται αυτός ο ρόλος ώστε να διεκπεραιώνουν τα αιτήματα διαβούλευσης ως κράτος μέλος που συμμετέχει στη διαβούλευση κατά τη διαδικασία λήψης απόφασης. Οι χρήστες της COUI εξουσιοδοτούνται για να διεκπεραιώνουν αιτήματα διαβούλευσης από άλλα κράτη μέλη, τα οποία έχουν ανατεθεί στη δική τους DTCA με χρήση της COUI.</w:t>
            </w:r>
          </w:p>
        </w:tc>
      </w:tr>
      <w:tr w:rsidR="00FF71F2" w:rsidRPr="002108FA" w14:paraId="33C269B7" w14:textId="77777777" w:rsidTr="00FF71F2">
        <w:trPr>
          <w:cnfStyle w:val="000000100000" w:firstRow="0" w:lastRow="0" w:firstColumn="0" w:lastColumn="0" w:oddVBand="0" w:evenVBand="0" w:oddHBand="1" w:evenHBand="0" w:firstRowFirstColumn="0" w:firstRowLastColumn="0" w:lastRowFirstColumn="0" w:lastRowLastColumn="0"/>
          <w:jc w:val="center"/>
        </w:trPr>
        <w:tc>
          <w:tcPr>
            <w:tcW w:w="0" w:type="auto"/>
            <w:vAlign w:val="center"/>
          </w:tcPr>
          <w:p w14:paraId="4F03EBE3" w14:textId="77777777" w:rsidR="00FF71F2" w:rsidRPr="002108FA" w:rsidRDefault="00FF71F2" w:rsidP="006D4191">
            <w:pPr>
              <w:jc w:val="left"/>
              <w:rPr>
                <w:sz w:val="18"/>
                <w:szCs w:val="18"/>
              </w:rPr>
            </w:pPr>
            <w:r>
              <w:rPr>
                <w:sz w:val="18"/>
              </w:rPr>
              <w:t>Consult Member States (Διαβούλευση με κράτη μέλη)</w:t>
            </w:r>
          </w:p>
        </w:tc>
        <w:tc>
          <w:tcPr>
            <w:tcW w:w="0" w:type="auto"/>
            <w:vAlign w:val="center"/>
          </w:tcPr>
          <w:p w14:paraId="647D3E0D" w14:textId="4EE2C524" w:rsidR="00FF71F2" w:rsidRPr="002108FA" w:rsidRDefault="00FF71F2" w:rsidP="006D4191">
            <w:pPr>
              <w:jc w:val="left"/>
              <w:rPr>
                <w:rFonts w:cs="Arial"/>
                <w:sz w:val="18"/>
                <w:szCs w:val="18"/>
              </w:rPr>
            </w:pPr>
            <w:r>
              <w:rPr>
                <w:color w:val="000000"/>
                <w:sz w:val="18"/>
              </w:rPr>
              <w:t>Στους χρήστες της COUI πρέπει να αποδίδεται αυτός ο ρόλος ώστε να πραγματοποιούν διαβούλευση με κάποιο κράτος μέλος κατά τη διαδικασία λήψης απόφασης, τη διαδικασία επανεξέτασης απόφασης. Οι χρήστες της COUI εξουσιοδοτούνται για να διαβουλεύονται με κράτη μέλη για τη δική τους DTCA με χρήση της COUI.</w:t>
            </w:r>
          </w:p>
        </w:tc>
      </w:tr>
      <w:tr w:rsidR="00FF71F2" w:rsidRPr="002108FA" w14:paraId="71462711" w14:textId="77777777" w:rsidTr="00FF71F2">
        <w:trPr>
          <w:jc w:val="center"/>
        </w:trPr>
        <w:tc>
          <w:tcPr>
            <w:tcW w:w="0" w:type="auto"/>
            <w:vAlign w:val="center"/>
          </w:tcPr>
          <w:p w14:paraId="445E6806" w14:textId="77777777" w:rsidR="00FF71F2" w:rsidRPr="002108FA" w:rsidRDefault="00FF71F2" w:rsidP="006D4191">
            <w:pPr>
              <w:jc w:val="left"/>
              <w:rPr>
                <w:sz w:val="18"/>
                <w:szCs w:val="18"/>
              </w:rPr>
            </w:pPr>
            <w:r>
              <w:rPr>
                <w:sz w:val="18"/>
              </w:rPr>
              <w:t>Create Customs Authorisations (Δημιουργία τελωνειακών αδειών)</w:t>
            </w:r>
          </w:p>
        </w:tc>
        <w:tc>
          <w:tcPr>
            <w:tcW w:w="0" w:type="auto"/>
            <w:vAlign w:val="center"/>
          </w:tcPr>
          <w:p w14:paraId="74C98026" w14:textId="77777777" w:rsidR="00FF71F2" w:rsidRPr="002108FA" w:rsidRDefault="00FF71F2" w:rsidP="006D4191">
            <w:pPr>
              <w:jc w:val="left"/>
              <w:rPr>
                <w:rFonts w:cs="Arial"/>
                <w:sz w:val="18"/>
                <w:szCs w:val="18"/>
              </w:rPr>
            </w:pPr>
            <w:r>
              <w:rPr>
                <w:color w:val="000000"/>
                <w:sz w:val="18"/>
              </w:rPr>
              <w:t>Στους χρήστες της COUI πρέπει να αποδίδεται αυτός ο ρόλος ώστε να χορηγούν άδεια κατόπιν αποδοχής της αίτησης. Οι χρήστες της COUI εξουσιοδοτούνται για να δημιουργούν τελωνειακές άδειες για τη δική τους DTCA με χρήση της COUI.</w:t>
            </w:r>
          </w:p>
        </w:tc>
      </w:tr>
      <w:tr w:rsidR="00FF71F2" w:rsidRPr="002108FA" w14:paraId="400751CC" w14:textId="77777777" w:rsidTr="00FF71F2">
        <w:trPr>
          <w:cnfStyle w:val="000000100000" w:firstRow="0" w:lastRow="0" w:firstColumn="0" w:lastColumn="0" w:oddVBand="0" w:evenVBand="0" w:oddHBand="1" w:evenHBand="0" w:firstRowFirstColumn="0" w:firstRowLastColumn="0" w:lastRowFirstColumn="0" w:lastRowLastColumn="0"/>
          <w:jc w:val="center"/>
        </w:trPr>
        <w:tc>
          <w:tcPr>
            <w:tcW w:w="0" w:type="auto"/>
            <w:vAlign w:val="center"/>
          </w:tcPr>
          <w:p w14:paraId="2B559B5B" w14:textId="77777777" w:rsidR="00FF71F2" w:rsidRPr="002108FA" w:rsidRDefault="00FF71F2" w:rsidP="006D4191">
            <w:pPr>
              <w:jc w:val="left"/>
              <w:rPr>
                <w:sz w:val="18"/>
                <w:szCs w:val="18"/>
              </w:rPr>
            </w:pPr>
            <w:r>
              <w:rPr>
                <w:sz w:val="18"/>
              </w:rPr>
              <w:t>Manage Customs Authorities Customers (Διαχείριση πελατών τελωνειακών αρχών)</w:t>
            </w:r>
          </w:p>
        </w:tc>
        <w:tc>
          <w:tcPr>
            <w:tcW w:w="0" w:type="auto"/>
            <w:vAlign w:val="center"/>
          </w:tcPr>
          <w:p w14:paraId="0E35C65B" w14:textId="21AABE04" w:rsidR="00FF71F2" w:rsidRPr="002108FA" w:rsidRDefault="00FF71F2" w:rsidP="006D4191">
            <w:pPr>
              <w:jc w:val="left"/>
              <w:rPr>
                <w:rFonts w:cs="Arial"/>
                <w:sz w:val="18"/>
                <w:szCs w:val="18"/>
              </w:rPr>
            </w:pPr>
            <w:r>
              <w:rPr>
                <w:color w:val="000000"/>
                <w:sz w:val="18"/>
              </w:rPr>
              <w:t>Στους χρήστες της COUI πρέπει να αποδίδεται αυτός ο ρόλος ώστε να προσθέτουν νέους συσχετισμούς μεταξύ τελωνειακών υπαλλήλων και τελωνειακής αρχής. Οι χρήστες της COUI εξουσιοδοτούνται για να διαχειρίζονται υπαλλήλους τελωνειακών αρχών που ανήκουν σε συγκεκριμένη DTCA του κράτους μέλους τους.</w:t>
            </w:r>
          </w:p>
        </w:tc>
      </w:tr>
    </w:tbl>
    <w:p w14:paraId="73D9D68C" w14:textId="617067FD" w:rsidR="00FF71F2" w:rsidRPr="002108FA" w:rsidRDefault="00FF71F2" w:rsidP="006D4191">
      <w:pPr>
        <w:pStyle w:val="Caption"/>
      </w:pPr>
      <w:bookmarkStart w:id="17" w:name="_Ref480442576"/>
      <w:bookmarkStart w:id="18" w:name="_Ref480442573"/>
      <w:r>
        <w:t>Πίνακας </w:t>
      </w:r>
      <w:r>
        <w:rPr>
          <w:noProof/>
        </w:rPr>
        <w:fldChar w:fldCharType="begin"/>
      </w:r>
      <w:r>
        <w:rPr>
          <w:noProof/>
        </w:rPr>
        <w:instrText xml:space="preserve"> SEQ Table \* ARABIC </w:instrText>
      </w:r>
      <w:r>
        <w:rPr>
          <w:noProof/>
        </w:rPr>
        <w:fldChar w:fldCharType="separate"/>
      </w:r>
      <w:r>
        <w:rPr>
          <w:noProof/>
        </w:rPr>
        <w:t>2</w:t>
      </w:r>
      <w:r>
        <w:rPr>
          <w:noProof/>
        </w:rPr>
        <w:fldChar w:fldCharType="end"/>
      </w:r>
      <w:bookmarkEnd w:id="17"/>
      <w:r>
        <w:t xml:space="preserve"> Ρόλοι στο CDMS</w:t>
      </w:r>
      <w:bookmarkEnd w:id="18"/>
    </w:p>
    <w:bookmarkEnd w:id="16"/>
    <w:p w14:paraId="2491567F" w14:textId="59D978C1" w:rsidR="00FF71F2" w:rsidRPr="002108FA" w:rsidRDefault="00FF71F2" w:rsidP="006D4191">
      <w:pPr>
        <w:pStyle w:val="Heading4"/>
      </w:pPr>
      <w:r>
        <w:t>Πύλη για τους συναλλασσόμενους της ΕΕ</w:t>
      </w:r>
    </w:p>
    <w:p w14:paraId="06D93966" w14:textId="5D7ABA38" w:rsidR="00FF71F2" w:rsidRPr="002108FA" w:rsidRDefault="00FF71F2" w:rsidP="006D4191">
      <w:bookmarkStart w:id="19" w:name="_Hlk480387155"/>
      <w:r>
        <w:t>Οι χρήστες που είναι οικονομικοί φορείς πρέπει να ταυτοποιούνται από το σύστημα UUM&amp;DS, ένα συνενωμένο σύστημα διαχείρισης χρηστών σε διευρωπαϊκό επίπεδο. Η ταυτοποίηση των χρηστών και η σχέση τους με οικονομικούς φορείς στο UUM&amp;DS αποτελεί ευθύνη των κρατών μελών με χρήση του εθνικού τους συστήματος διαχείρισης χρηστών που είναι οικονομικοί φορείς. Οι χρήστες που είναι οικονομικοί φορείς μπορούν να έχουν πρόσβαση στην πύλη για τους συναλλασσόμενους μέσω του διαδικτύου.</w:t>
      </w:r>
    </w:p>
    <w:p w14:paraId="567BC3D0" w14:textId="407F9D21" w:rsidR="00FF71F2" w:rsidRPr="002108FA" w:rsidRDefault="00FF71F2" w:rsidP="006D4191">
      <w:pPr>
        <w:rPr>
          <w:b/>
        </w:rPr>
      </w:pPr>
      <w:r>
        <w:t>Οι χρήστες που είναι οικονομικοί φορείς ή οι αντιπρόσωποι μπορούν μόνο να θέτουν ερωτήματα, να συμβουλεύονται</w:t>
      </w:r>
      <w:r>
        <w:rPr>
          <w:b/>
        </w:rPr>
        <w:t xml:space="preserve"> </w:t>
      </w:r>
      <w:r>
        <w:t>ή να τροποποιούν πληροφορίες που σχετίζονται με τις αντίστοιχες αιτήσεις και άδειές τους.</w:t>
      </w:r>
      <w:r>
        <w:rPr>
          <w:b/>
        </w:rPr>
        <w:t xml:space="preserve"> </w:t>
      </w:r>
    </w:p>
    <w:p w14:paraId="6513E085" w14:textId="77777777" w:rsidR="00FF71F2" w:rsidRPr="002108FA" w:rsidRDefault="00FF71F2" w:rsidP="006D4191">
      <w:r>
        <w:t>Επίσης, στην πύλη για τους συναλλασσόμενους της ΕΕ, έχουν οριστεί ορισμένοι ρόλοι για τους χρήστες.</w:t>
      </w:r>
    </w:p>
    <w:tbl>
      <w:tblPr>
        <w:tblStyle w:val="GridTable5Dark-Accent41"/>
        <w:tblW w:w="0" w:type="auto"/>
        <w:jc w:val="center"/>
        <w:tblLook w:val="0420" w:firstRow="1" w:lastRow="0" w:firstColumn="0" w:lastColumn="0" w:noHBand="0" w:noVBand="1"/>
      </w:tblPr>
      <w:tblGrid>
        <w:gridCol w:w="2245"/>
        <w:gridCol w:w="7043"/>
      </w:tblGrid>
      <w:tr w:rsidR="00FF71F2" w:rsidRPr="002108FA" w14:paraId="060B3CC5" w14:textId="77777777" w:rsidTr="00111D2C">
        <w:trPr>
          <w:cnfStyle w:val="100000000000" w:firstRow="1" w:lastRow="0" w:firstColumn="0" w:lastColumn="0" w:oddVBand="0" w:evenVBand="0" w:oddHBand="0" w:evenHBand="0" w:firstRowFirstColumn="0" w:firstRowLastColumn="0" w:lastRowFirstColumn="0" w:lastRowLastColumn="0"/>
          <w:tblHeader/>
          <w:jc w:val="center"/>
        </w:trPr>
        <w:tc>
          <w:tcPr>
            <w:tcW w:w="0" w:type="auto"/>
            <w:vAlign w:val="center"/>
          </w:tcPr>
          <w:p w14:paraId="469945FA" w14:textId="77777777" w:rsidR="00FF71F2" w:rsidRPr="002108FA" w:rsidRDefault="00FF71F2" w:rsidP="006D4191">
            <w:pPr>
              <w:jc w:val="left"/>
              <w:rPr>
                <w:szCs w:val="18"/>
              </w:rPr>
            </w:pPr>
            <w:r>
              <w:t>Ονομασία ρόλου στην EU TP</w:t>
            </w:r>
          </w:p>
        </w:tc>
        <w:tc>
          <w:tcPr>
            <w:tcW w:w="0" w:type="auto"/>
            <w:vAlign w:val="center"/>
          </w:tcPr>
          <w:p w14:paraId="011E64BC" w14:textId="77777777" w:rsidR="00FF71F2" w:rsidRPr="002108FA" w:rsidRDefault="00FF71F2" w:rsidP="006D4191">
            <w:pPr>
              <w:jc w:val="left"/>
              <w:rPr>
                <w:szCs w:val="18"/>
              </w:rPr>
            </w:pPr>
            <w:r>
              <w:t>Περιγραφή ροής εργασιών</w:t>
            </w:r>
          </w:p>
        </w:tc>
      </w:tr>
      <w:tr w:rsidR="00FF71F2" w:rsidRPr="002108FA" w14:paraId="3688950E" w14:textId="77777777" w:rsidTr="00FF71F2">
        <w:trPr>
          <w:cnfStyle w:val="000000100000" w:firstRow="0" w:lastRow="0" w:firstColumn="0" w:lastColumn="0" w:oddVBand="0" w:evenVBand="0" w:oddHBand="1" w:evenHBand="0" w:firstRowFirstColumn="0" w:firstRowLastColumn="0" w:lastRowFirstColumn="0" w:lastRowLastColumn="0"/>
          <w:jc w:val="center"/>
        </w:trPr>
        <w:tc>
          <w:tcPr>
            <w:tcW w:w="0" w:type="auto"/>
            <w:vAlign w:val="center"/>
          </w:tcPr>
          <w:p w14:paraId="7826F515" w14:textId="77777777" w:rsidR="00FF71F2" w:rsidRPr="002108FA" w:rsidRDefault="00FF71F2" w:rsidP="006D4191">
            <w:pPr>
              <w:jc w:val="left"/>
              <w:rPr>
                <w:sz w:val="18"/>
                <w:szCs w:val="18"/>
              </w:rPr>
            </w:pPr>
            <w:r>
              <w:rPr>
                <w:sz w:val="18"/>
              </w:rPr>
              <w:t>Συμβουλευτικό προφίλ τελωνειακών αποφάσεων</w:t>
            </w:r>
          </w:p>
        </w:tc>
        <w:tc>
          <w:tcPr>
            <w:tcW w:w="0" w:type="auto"/>
            <w:vAlign w:val="center"/>
          </w:tcPr>
          <w:p w14:paraId="09950FB7" w14:textId="77777777" w:rsidR="00FF71F2" w:rsidRPr="002108FA" w:rsidRDefault="00FF71F2" w:rsidP="006D4191">
            <w:pPr>
              <w:jc w:val="left"/>
              <w:rPr>
                <w:rFonts w:cs="Arial"/>
                <w:sz w:val="18"/>
                <w:szCs w:val="18"/>
              </w:rPr>
            </w:pPr>
            <w:r>
              <w:rPr>
                <w:color w:val="000000"/>
                <w:sz w:val="18"/>
              </w:rPr>
              <w:t>Δυνατότητα προβολής των κοινών στοιχείων της πύλης για τους συναλλασσόμενους, καθώς και προβολής πληροφοριών που σχετίζονται με τη διαχείριση αιτήσεων τελωνειακών αποφάσεων και αδειών.</w:t>
            </w:r>
          </w:p>
        </w:tc>
      </w:tr>
      <w:tr w:rsidR="00FF71F2" w:rsidRPr="002108FA" w14:paraId="11EF4811" w14:textId="77777777" w:rsidTr="00FF71F2">
        <w:trPr>
          <w:jc w:val="center"/>
        </w:trPr>
        <w:tc>
          <w:tcPr>
            <w:tcW w:w="0" w:type="auto"/>
            <w:vAlign w:val="center"/>
          </w:tcPr>
          <w:p w14:paraId="30CB0F0E" w14:textId="77777777" w:rsidR="00FF71F2" w:rsidRPr="002108FA" w:rsidRDefault="00FF71F2" w:rsidP="006D4191">
            <w:pPr>
              <w:jc w:val="left"/>
              <w:rPr>
                <w:sz w:val="18"/>
                <w:szCs w:val="18"/>
              </w:rPr>
            </w:pPr>
            <w:r>
              <w:rPr>
                <w:sz w:val="18"/>
              </w:rPr>
              <w:t>Διοικητικό προφίλ τελωνειακών αποφάσεων</w:t>
            </w:r>
          </w:p>
        </w:tc>
        <w:tc>
          <w:tcPr>
            <w:tcW w:w="0" w:type="auto"/>
            <w:vAlign w:val="center"/>
          </w:tcPr>
          <w:p w14:paraId="790D652C" w14:textId="77777777" w:rsidR="00FF71F2" w:rsidRPr="002108FA" w:rsidRDefault="00FF71F2" w:rsidP="006D4191">
            <w:pPr>
              <w:jc w:val="left"/>
              <w:rPr>
                <w:rFonts w:cs="Arial"/>
                <w:sz w:val="18"/>
                <w:szCs w:val="18"/>
              </w:rPr>
            </w:pPr>
            <w:r>
              <w:rPr>
                <w:color w:val="000000"/>
                <w:sz w:val="18"/>
              </w:rPr>
              <w:t>Δυνατότητα προβολής των κοινών στοιχείων της πύλης για τους συναλλασσόμενους, καθώς και προβολής και καταχώρησης πληροφοριών που σχετίζονται με τη διαχείριση αιτήσεων τελωνειακών αποφάσεων και αδειών.</w:t>
            </w:r>
          </w:p>
        </w:tc>
      </w:tr>
      <w:tr w:rsidR="00FF71F2" w:rsidRPr="002108FA" w14:paraId="021E7680" w14:textId="77777777" w:rsidTr="00FF71F2">
        <w:trPr>
          <w:cnfStyle w:val="000000100000" w:firstRow="0" w:lastRow="0" w:firstColumn="0" w:lastColumn="0" w:oddVBand="0" w:evenVBand="0" w:oddHBand="1" w:evenHBand="0" w:firstRowFirstColumn="0" w:firstRowLastColumn="0" w:lastRowFirstColumn="0" w:lastRowLastColumn="0"/>
          <w:jc w:val="center"/>
        </w:trPr>
        <w:tc>
          <w:tcPr>
            <w:tcW w:w="0" w:type="auto"/>
            <w:vAlign w:val="center"/>
          </w:tcPr>
          <w:p w14:paraId="23AC6A0D" w14:textId="77777777" w:rsidR="00FF71F2" w:rsidRPr="002108FA" w:rsidRDefault="00FF71F2" w:rsidP="006D4191">
            <w:pPr>
              <w:jc w:val="left"/>
              <w:rPr>
                <w:sz w:val="18"/>
                <w:szCs w:val="18"/>
              </w:rPr>
            </w:pPr>
            <w:r>
              <w:rPr>
                <w:sz w:val="18"/>
              </w:rPr>
              <w:t>Εκτελεστικό προφίλ τελωνειακών αποφάσεων</w:t>
            </w:r>
          </w:p>
        </w:tc>
        <w:tc>
          <w:tcPr>
            <w:tcW w:w="0" w:type="auto"/>
            <w:vAlign w:val="center"/>
          </w:tcPr>
          <w:p w14:paraId="286D3F34" w14:textId="77777777" w:rsidR="00FF71F2" w:rsidRPr="002108FA" w:rsidRDefault="00FF71F2" w:rsidP="006D4191">
            <w:pPr>
              <w:jc w:val="left"/>
              <w:rPr>
                <w:rFonts w:cs="Arial"/>
                <w:sz w:val="18"/>
                <w:szCs w:val="18"/>
              </w:rPr>
            </w:pPr>
            <w:r>
              <w:rPr>
                <w:color w:val="000000"/>
                <w:sz w:val="18"/>
              </w:rPr>
              <w:t>Δυνατότητα προβολής των κοινών στοιχείων της πύλης για τους συναλλασσόμενους, καθώς και προβολής, καταχώρισης και υποβολής πληροφοριών που σχετίζονται με τη διαχείριση αιτήσεων τελωνειακών αποφάσεων και αδειών.</w:t>
            </w:r>
          </w:p>
        </w:tc>
      </w:tr>
    </w:tbl>
    <w:p w14:paraId="65B4C059" w14:textId="64767150" w:rsidR="00FF71F2" w:rsidRPr="002108FA" w:rsidRDefault="00FF71F2" w:rsidP="006D4191">
      <w:pPr>
        <w:pStyle w:val="Caption"/>
      </w:pPr>
      <w:r>
        <w:t>Πίνακας </w:t>
      </w:r>
      <w:r>
        <w:rPr>
          <w:noProof/>
        </w:rPr>
        <w:fldChar w:fldCharType="begin"/>
      </w:r>
      <w:r>
        <w:rPr>
          <w:noProof/>
        </w:rPr>
        <w:instrText xml:space="preserve"> SEQ Table \* ARABIC </w:instrText>
      </w:r>
      <w:r>
        <w:rPr>
          <w:noProof/>
        </w:rPr>
        <w:fldChar w:fldCharType="separate"/>
      </w:r>
      <w:r>
        <w:rPr>
          <w:noProof/>
        </w:rPr>
        <w:t>3</w:t>
      </w:r>
      <w:r>
        <w:rPr>
          <w:noProof/>
        </w:rPr>
        <w:fldChar w:fldCharType="end"/>
      </w:r>
      <w:r>
        <w:t xml:space="preserve"> Ρόλοι στην EU TP</w:t>
      </w:r>
    </w:p>
    <w:bookmarkEnd w:id="19"/>
    <w:p w14:paraId="62440AD9" w14:textId="301E3564" w:rsidR="00FF71F2" w:rsidRPr="002108FA" w:rsidRDefault="00E24FFB" w:rsidP="006D4191">
      <w:r>
        <w:t xml:space="preserve">Ανάλογα με το κράτος μέλος, οι οικονομικοί φορείς έχουν δυνατότητα αντιπροσώπευσης ή όχι (πρώτο και δεύτερο επίπεδο εξουσιοδότησης). Για να μάθετε αν το κράτος μέλος σας παρέχει την εν λόγω δυνατότητα, ανατρέξτε στην ενότητα «How can I access the system?» (Πώς μπορώ να έχω πρόσβαση στο σύστημα;) της ιστοσελίδας για τις τελωνειακές αποφάσεις στον ιστότοπο της ΓΔ TAXUD: </w:t>
      </w:r>
      <w:hyperlink r:id="rId25">
        <w:r>
          <w:rPr>
            <w:rStyle w:val="Hyperlink"/>
          </w:rPr>
          <w:t>https://ec.europa.eu/taxation_customs/business/customs-procedures/customs-decisions_en</w:t>
        </w:r>
      </w:hyperlink>
      <w:r>
        <w:t xml:space="preserve">. </w:t>
      </w:r>
    </w:p>
    <w:p w14:paraId="6761029E" w14:textId="171CC43C" w:rsidR="00FF71F2" w:rsidRPr="002108FA" w:rsidRDefault="00FF71F2" w:rsidP="006D4191">
      <w:pPr>
        <w:pStyle w:val="Heading4"/>
      </w:pPr>
      <w:r>
        <w:t>Εθνική αίτηση</w:t>
      </w:r>
    </w:p>
    <w:p w14:paraId="2DF7D114" w14:textId="49F2AFCE" w:rsidR="00FF71F2" w:rsidRPr="002108FA" w:rsidRDefault="00FF71F2" w:rsidP="00FF71F2">
      <w:r>
        <w:t>Για να συνδεθείτε στις εθνικές αιτήσεις, απευθυνθείτε στις εθνικές αρχές σας.</w:t>
      </w:r>
    </w:p>
    <w:p w14:paraId="5C8D7209" w14:textId="6E871B5F" w:rsidR="009F0834" w:rsidRPr="002108FA" w:rsidRDefault="009F0834" w:rsidP="009F0834">
      <w:pPr>
        <w:pStyle w:val="Heading2"/>
      </w:pPr>
      <w:bookmarkStart w:id="20" w:name="_Ref486859170"/>
      <w:r>
        <w:t>Είδη αδειών</w:t>
      </w:r>
      <w:bookmarkEnd w:id="20"/>
    </w:p>
    <w:p w14:paraId="4E1E5CD6" w14:textId="3FB78874" w:rsidR="00E75DB3" w:rsidRPr="002108FA" w:rsidRDefault="00E75DB3" w:rsidP="00E75DB3">
      <w:r>
        <w:t>Οι άδειες που μπορούν να χορηγούνται μέσω του συστήματος τελωνειακών αποφάσεων ταξινομούνται σε πέντε ομάδες – ανάλογα με το είδος τους.</w:t>
      </w:r>
    </w:p>
    <w:p w14:paraId="0B51A2F6" w14:textId="0AA62AA0" w:rsidR="00E75DB3" w:rsidRPr="00DD3BB0" w:rsidRDefault="00E75DB3" w:rsidP="006B2987">
      <w:r>
        <w:t xml:space="preserve">Σε κάθε είδος άδειας αποδίδεται ένας μοναδικός κωδικός είδους. Στον </w:t>
      </w:r>
      <w:r>
        <w:fldChar w:fldCharType="begin"/>
      </w:r>
      <w:r>
        <w:instrText xml:space="preserve"> REF _Ref470099164 \h </w:instrText>
      </w:r>
      <w:r>
        <w:fldChar w:fldCharType="separate"/>
      </w:r>
      <w:r w:rsidR="00B66BEF">
        <w:t>Πίνακα</w:t>
      </w:r>
      <w:r>
        <w:t xml:space="preserve"> </w:t>
      </w:r>
      <w:r>
        <w:rPr>
          <w:noProof/>
        </w:rPr>
        <w:t>4</w:t>
      </w:r>
      <w:r>
        <w:fldChar w:fldCharType="end"/>
      </w:r>
      <w:r>
        <w:t xml:space="preserve"> παρατίθενται οι εν λόγω κωδικοί και η ομαδοποίηση των αδειών.</w:t>
      </w:r>
    </w:p>
    <w:tbl>
      <w:tblPr>
        <w:tblStyle w:val="GridTable5Dark-Accent41"/>
        <w:tblW w:w="0" w:type="auto"/>
        <w:jc w:val="center"/>
        <w:tblLook w:val="0420" w:firstRow="1" w:lastRow="0" w:firstColumn="0" w:lastColumn="0" w:noHBand="0" w:noVBand="1"/>
      </w:tblPr>
      <w:tblGrid>
        <w:gridCol w:w="7223"/>
        <w:gridCol w:w="1021"/>
        <w:gridCol w:w="1044"/>
      </w:tblGrid>
      <w:tr w:rsidR="00E75DB3" w:rsidRPr="002108FA" w14:paraId="25A564F1" w14:textId="77777777" w:rsidTr="00111D2C">
        <w:trPr>
          <w:cnfStyle w:val="100000000000" w:firstRow="1" w:lastRow="0" w:firstColumn="0" w:lastColumn="0" w:oddVBand="0" w:evenVBand="0" w:oddHBand="0" w:evenHBand="0" w:firstRowFirstColumn="0" w:firstRowLastColumn="0" w:lastRowFirstColumn="0" w:lastRowLastColumn="0"/>
          <w:tblHeader/>
          <w:jc w:val="center"/>
        </w:trPr>
        <w:tc>
          <w:tcPr>
            <w:tcW w:w="0" w:type="auto"/>
            <w:gridSpan w:val="2"/>
          </w:tcPr>
          <w:p w14:paraId="50D46F62" w14:textId="60A2706A" w:rsidR="00E75DB3" w:rsidRPr="00DD3BB0" w:rsidRDefault="00E75DB3" w:rsidP="00E75DB3">
            <w:pPr>
              <w:jc w:val="left"/>
            </w:pPr>
            <w:r>
              <w:t>Είδος άδειας</w:t>
            </w:r>
          </w:p>
        </w:tc>
        <w:tc>
          <w:tcPr>
            <w:tcW w:w="0" w:type="auto"/>
            <w:vAlign w:val="center"/>
          </w:tcPr>
          <w:p w14:paraId="2B9C48E6" w14:textId="311054DF" w:rsidR="00E75DB3" w:rsidRPr="00810B5C" w:rsidRDefault="00E75DB3" w:rsidP="00E75DB3">
            <w:r>
              <w:t>Κωδικός</w:t>
            </w:r>
          </w:p>
        </w:tc>
      </w:tr>
      <w:tr w:rsidR="00E75DB3" w:rsidRPr="002108FA" w14:paraId="6A5E6F15" w14:textId="77777777" w:rsidTr="006E6F6C">
        <w:trPr>
          <w:cnfStyle w:val="000000100000" w:firstRow="0" w:lastRow="0" w:firstColumn="0" w:lastColumn="0" w:oddVBand="0" w:evenVBand="0" w:oddHBand="1" w:evenHBand="0" w:firstRowFirstColumn="0" w:firstRowLastColumn="0" w:lastRowFirstColumn="0" w:lastRowLastColumn="0"/>
          <w:jc w:val="center"/>
        </w:trPr>
        <w:tc>
          <w:tcPr>
            <w:tcW w:w="0" w:type="auto"/>
            <w:gridSpan w:val="3"/>
          </w:tcPr>
          <w:p w14:paraId="314976C7" w14:textId="031D4EB5" w:rsidR="00E75DB3" w:rsidRPr="008F202C" w:rsidRDefault="00E75DB3" w:rsidP="00E75DB3">
            <w:pPr>
              <w:jc w:val="center"/>
              <w:rPr>
                <w:b/>
              </w:rPr>
            </w:pPr>
            <w:r>
              <w:rPr>
                <w:b/>
              </w:rPr>
              <w:t>Υπαγωγή των εμπορευμάτων σε τελωνειακό καθεστώς και προσωρινή εναπόθεση</w:t>
            </w:r>
          </w:p>
        </w:tc>
      </w:tr>
      <w:tr w:rsidR="00E75DB3" w:rsidRPr="002108FA" w14:paraId="1DF544BC" w14:textId="77777777" w:rsidTr="006E6F6C">
        <w:trPr>
          <w:jc w:val="center"/>
        </w:trPr>
        <w:tc>
          <w:tcPr>
            <w:tcW w:w="0" w:type="auto"/>
            <w:gridSpan w:val="2"/>
          </w:tcPr>
          <w:p w14:paraId="4A4E9FA7" w14:textId="2C736A2F" w:rsidR="00E75DB3" w:rsidRPr="002108FA" w:rsidRDefault="00E75DB3" w:rsidP="00E75DB3">
            <w:pPr>
              <w:jc w:val="left"/>
            </w:pPr>
            <w:r>
              <w:t>Άδεια για υποβολή τελωνειακής διασάφησης μέσω εισαγωγής δεδομένων στις λογιστικές καταχωρίσεις του διασαφιστή, μεταξύ άλλων για το καθεστώς εξαγωγής</w:t>
            </w:r>
          </w:p>
        </w:tc>
        <w:tc>
          <w:tcPr>
            <w:tcW w:w="0" w:type="auto"/>
            <w:vAlign w:val="center"/>
          </w:tcPr>
          <w:p w14:paraId="454FB591" w14:textId="4A7584BB" w:rsidR="00E75DB3" w:rsidRPr="002108FA" w:rsidRDefault="00E75DB3" w:rsidP="00E75DB3">
            <w:pPr>
              <w:jc w:val="center"/>
            </w:pPr>
            <w:r>
              <w:t>EIR</w:t>
            </w:r>
          </w:p>
        </w:tc>
      </w:tr>
      <w:tr w:rsidR="00E75DB3" w:rsidRPr="002108FA" w14:paraId="7FD9945B" w14:textId="77777777" w:rsidTr="006E6F6C">
        <w:trPr>
          <w:cnfStyle w:val="000000100000" w:firstRow="0" w:lastRow="0" w:firstColumn="0" w:lastColumn="0" w:oddVBand="0" w:evenVBand="0" w:oddHBand="1" w:evenHBand="0" w:firstRowFirstColumn="0" w:firstRowLastColumn="0" w:lastRowFirstColumn="0" w:lastRowLastColumn="0"/>
          <w:jc w:val="center"/>
        </w:trPr>
        <w:tc>
          <w:tcPr>
            <w:tcW w:w="0" w:type="auto"/>
            <w:gridSpan w:val="2"/>
          </w:tcPr>
          <w:p w14:paraId="4D088BA3" w14:textId="62BD4EA2" w:rsidR="00E75DB3" w:rsidRPr="002108FA" w:rsidRDefault="00E75DB3" w:rsidP="00E75DB3">
            <w:pPr>
              <w:jc w:val="left"/>
            </w:pPr>
            <w:r>
              <w:t>Άδεια για κεντρικό τελωνισμό</w:t>
            </w:r>
          </w:p>
        </w:tc>
        <w:tc>
          <w:tcPr>
            <w:tcW w:w="0" w:type="auto"/>
            <w:vAlign w:val="center"/>
          </w:tcPr>
          <w:p w14:paraId="5BE1C89A" w14:textId="1AA1A52E" w:rsidR="00E75DB3" w:rsidRPr="002108FA" w:rsidRDefault="00E75DB3" w:rsidP="00E75DB3">
            <w:pPr>
              <w:jc w:val="center"/>
            </w:pPr>
            <w:r>
              <w:t>CCL</w:t>
            </w:r>
          </w:p>
        </w:tc>
      </w:tr>
      <w:tr w:rsidR="00E75DB3" w:rsidRPr="002108FA" w14:paraId="4BF99239" w14:textId="77777777" w:rsidTr="006E6F6C">
        <w:trPr>
          <w:jc w:val="center"/>
        </w:trPr>
        <w:tc>
          <w:tcPr>
            <w:tcW w:w="0" w:type="auto"/>
            <w:gridSpan w:val="2"/>
          </w:tcPr>
          <w:p w14:paraId="6DA1E12C" w14:textId="137E9A96" w:rsidR="00E75DB3" w:rsidRPr="002108FA" w:rsidRDefault="00E75DB3" w:rsidP="00E75DB3">
            <w:pPr>
              <w:jc w:val="left"/>
            </w:pPr>
            <w:r>
              <w:t>Άδεια για χρήση απλουστευμένης διασάφησης</w:t>
            </w:r>
          </w:p>
        </w:tc>
        <w:tc>
          <w:tcPr>
            <w:tcW w:w="0" w:type="auto"/>
            <w:vAlign w:val="center"/>
          </w:tcPr>
          <w:p w14:paraId="76483A82" w14:textId="351CC47E" w:rsidR="00E75DB3" w:rsidRPr="002108FA" w:rsidRDefault="00E75DB3" w:rsidP="00E75DB3">
            <w:pPr>
              <w:jc w:val="center"/>
            </w:pPr>
            <w:r>
              <w:t>SDE</w:t>
            </w:r>
          </w:p>
        </w:tc>
      </w:tr>
      <w:tr w:rsidR="00E75DB3" w:rsidRPr="002108FA" w14:paraId="41F088F7" w14:textId="77777777" w:rsidTr="006E6F6C">
        <w:trPr>
          <w:cnfStyle w:val="000000100000" w:firstRow="0" w:lastRow="0" w:firstColumn="0" w:lastColumn="0" w:oddVBand="0" w:evenVBand="0" w:oddHBand="1" w:evenHBand="0" w:firstRowFirstColumn="0" w:firstRowLastColumn="0" w:lastRowFirstColumn="0" w:lastRowLastColumn="0"/>
          <w:jc w:val="center"/>
        </w:trPr>
        <w:tc>
          <w:tcPr>
            <w:tcW w:w="0" w:type="auto"/>
            <w:gridSpan w:val="2"/>
          </w:tcPr>
          <w:p w14:paraId="6EE7BA42" w14:textId="7AFD1806" w:rsidR="00E75DB3" w:rsidRPr="002108FA" w:rsidRDefault="00E75DB3" w:rsidP="00E75DB3">
            <w:pPr>
              <w:jc w:val="left"/>
            </w:pPr>
            <w:r>
              <w:t>Άδεια σχετικά με την ιδιότητα του εγκεκριμένου ζυγιστή μπανανών</w:t>
            </w:r>
          </w:p>
        </w:tc>
        <w:tc>
          <w:tcPr>
            <w:tcW w:w="0" w:type="auto"/>
            <w:vAlign w:val="center"/>
          </w:tcPr>
          <w:p w14:paraId="4AE157C2" w14:textId="2A2B2444" w:rsidR="00E75DB3" w:rsidRPr="002108FA" w:rsidRDefault="00E75DB3" w:rsidP="00E75DB3">
            <w:pPr>
              <w:jc w:val="center"/>
            </w:pPr>
            <w:r>
              <w:t>AWB</w:t>
            </w:r>
          </w:p>
        </w:tc>
      </w:tr>
      <w:tr w:rsidR="00E75DB3" w:rsidRPr="002108FA" w14:paraId="36C97272" w14:textId="77777777" w:rsidTr="006E6F6C">
        <w:trPr>
          <w:jc w:val="center"/>
        </w:trPr>
        <w:tc>
          <w:tcPr>
            <w:tcW w:w="0" w:type="auto"/>
            <w:gridSpan w:val="2"/>
          </w:tcPr>
          <w:p w14:paraId="1C0CD16E" w14:textId="5A8F8C79" w:rsidR="00E75DB3" w:rsidRPr="002108FA" w:rsidRDefault="00E75DB3" w:rsidP="00E75DB3">
            <w:pPr>
              <w:jc w:val="left"/>
            </w:pPr>
            <w:r>
              <w:t>Άδεια για αυτοαξιολόγηση</w:t>
            </w:r>
          </w:p>
        </w:tc>
        <w:tc>
          <w:tcPr>
            <w:tcW w:w="0" w:type="auto"/>
            <w:vAlign w:val="center"/>
          </w:tcPr>
          <w:p w14:paraId="32CB27FA" w14:textId="435CEAF5" w:rsidR="00E75DB3" w:rsidRPr="002108FA" w:rsidRDefault="00E75DB3" w:rsidP="00E75DB3">
            <w:pPr>
              <w:jc w:val="center"/>
            </w:pPr>
            <w:r>
              <w:t>SAS</w:t>
            </w:r>
          </w:p>
        </w:tc>
      </w:tr>
      <w:tr w:rsidR="00E75DB3" w:rsidRPr="002108FA" w14:paraId="2D2B2A40" w14:textId="77777777" w:rsidTr="006E6F6C">
        <w:trPr>
          <w:cnfStyle w:val="000000100000" w:firstRow="0" w:lastRow="0" w:firstColumn="0" w:lastColumn="0" w:oddVBand="0" w:evenVBand="0" w:oddHBand="1" w:evenHBand="0" w:firstRowFirstColumn="0" w:firstRowLastColumn="0" w:lastRowFirstColumn="0" w:lastRowLastColumn="0"/>
          <w:jc w:val="center"/>
        </w:trPr>
        <w:tc>
          <w:tcPr>
            <w:tcW w:w="0" w:type="auto"/>
            <w:gridSpan w:val="2"/>
          </w:tcPr>
          <w:p w14:paraId="0A7E572A" w14:textId="500CE62E" w:rsidR="00E75DB3" w:rsidRPr="002108FA" w:rsidRDefault="00E75DB3" w:rsidP="00E75DB3">
            <w:pPr>
              <w:jc w:val="left"/>
            </w:pPr>
            <w:r>
              <w:t>Άδεια λειτουργίας εγκαταστάσεων προσωρινής εναπόθεσης</w:t>
            </w:r>
          </w:p>
        </w:tc>
        <w:tc>
          <w:tcPr>
            <w:tcW w:w="0" w:type="auto"/>
            <w:vAlign w:val="center"/>
          </w:tcPr>
          <w:p w14:paraId="2BE28C3F" w14:textId="5C84D312" w:rsidR="00E75DB3" w:rsidRPr="002108FA" w:rsidRDefault="00E75DB3" w:rsidP="00E75DB3">
            <w:pPr>
              <w:jc w:val="center"/>
            </w:pPr>
            <w:r>
              <w:t>TST</w:t>
            </w:r>
          </w:p>
        </w:tc>
      </w:tr>
      <w:tr w:rsidR="00B21AD0" w:rsidRPr="002108FA" w14:paraId="27ADF181" w14:textId="77777777" w:rsidTr="006E6F6C">
        <w:trPr>
          <w:jc w:val="center"/>
        </w:trPr>
        <w:tc>
          <w:tcPr>
            <w:tcW w:w="0" w:type="auto"/>
            <w:gridSpan w:val="3"/>
            <w:vAlign w:val="center"/>
          </w:tcPr>
          <w:p w14:paraId="7E7D4ADD" w14:textId="6D0D253E" w:rsidR="00B21AD0" w:rsidRPr="002108FA" w:rsidRDefault="00B21AD0" w:rsidP="00E75DB3">
            <w:pPr>
              <w:jc w:val="center"/>
              <w:rPr>
                <w:b/>
              </w:rPr>
            </w:pPr>
            <w:r>
              <w:rPr>
                <w:b/>
              </w:rPr>
              <w:t>Ειδικά καθεστώτα</w:t>
            </w:r>
          </w:p>
        </w:tc>
      </w:tr>
      <w:tr w:rsidR="00843892" w:rsidRPr="002108FA" w14:paraId="04A62DF9" w14:textId="77777777" w:rsidTr="006E6F6C">
        <w:trPr>
          <w:cnfStyle w:val="000000100000" w:firstRow="0" w:lastRow="0" w:firstColumn="0" w:lastColumn="0" w:oddVBand="0" w:evenVBand="0" w:oddHBand="1" w:evenHBand="0" w:firstRowFirstColumn="0" w:firstRowLastColumn="0" w:lastRowFirstColumn="0" w:lastRowLastColumn="0"/>
          <w:jc w:val="center"/>
        </w:trPr>
        <w:tc>
          <w:tcPr>
            <w:tcW w:w="0" w:type="auto"/>
            <w:vMerge w:val="restart"/>
          </w:tcPr>
          <w:p w14:paraId="6F0FD246" w14:textId="64256BE8" w:rsidR="00843892" w:rsidRPr="002108FA" w:rsidRDefault="00843892" w:rsidP="00E75DB3">
            <w:pPr>
              <w:jc w:val="left"/>
            </w:pPr>
            <w:r>
              <w:t>Άδειες για τη λειτουργία εγκαταστάσεων αποθήκευσης που προορίζονται για την τελωνειακή αποταμίευση εμπορευμάτων</w:t>
            </w:r>
          </w:p>
        </w:tc>
        <w:tc>
          <w:tcPr>
            <w:tcW w:w="0" w:type="auto"/>
          </w:tcPr>
          <w:p w14:paraId="2B22F06E" w14:textId="2C4429BE" w:rsidR="00843892" w:rsidRPr="002108FA" w:rsidRDefault="00843892" w:rsidP="00E75DB3">
            <w:pPr>
              <w:jc w:val="left"/>
            </w:pPr>
            <w:r>
              <w:t>Είδος 1</w:t>
            </w:r>
          </w:p>
        </w:tc>
        <w:tc>
          <w:tcPr>
            <w:tcW w:w="0" w:type="auto"/>
            <w:vAlign w:val="center"/>
          </w:tcPr>
          <w:p w14:paraId="766E685A" w14:textId="3AFD7140" w:rsidR="00843892" w:rsidRPr="002108FA" w:rsidRDefault="00843892" w:rsidP="00E75DB3">
            <w:pPr>
              <w:jc w:val="center"/>
            </w:pPr>
            <w:r>
              <w:t>CW1</w:t>
            </w:r>
          </w:p>
        </w:tc>
      </w:tr>
      <w:tr w:rsidR="00843892" w:rsidRPr="002108FA" w14:paraId="760DD50E" w14:textId="77777777" w:rsidTr="006E6F6C">
        <w:trPr>
          <w:jc w:val="center"/>
        </w:trPr>
        <w:tc>
          <w:tcPr>
            <w:tcW w:w="0" w:type="auto"/>
            <w:vMerge/>
          </w:tcPr>
          <w:p w14:paraId="79F2D39A" w14:textId="77777777" w:rsidR="00843892" w:rsidRPr="002108FA" w:rsidRDefault="00843892" w:rsidP="00E75DB3">
            <w:pPr>
              <w:jc w:val="left"/>
            </w:pPr>
          </w:p>
        </w:tc>
        <w:tc>
          <w:tcPr>
            <w:tcW w:w="0" w:type="auto"/>
          </w:tcPr>
          <w:p w14:paraId="73ACC69C" w14:textId="1D845B4C" w:rsidR="00843892" w:rsidRPr="002108FA" w:rsidRDefault="00843892" w:rsidP="00E75DB3">
            <w:pPr>
              <w:jc w:val="left"/>
            </w:pPr>
            <w:r>
              <w:t>Είδος 2</w:t>
            </w:r>
          </w:p>
        </w:tc>
        <w:tc>
          <w:tcPr>
            <w:tcW w:w="0" w:type="auto"/>
            <w:vAlign w:val="center"/>
          </w:tcPr>
          <w:p w14:paraId="464C3EB1" w14:textId="7DE81BA4" w:rsidR="00843892" w:rsidRPr="002108FA" w:rsidRDefault="00843892" w:rsidP="00E75DB3">
            <w:pPr>
              <w:jc w:val="center"/>
            </w:pPr>
            <w:r>
              <w:t>CW2</w:t>
            </w:r>
          </w:p>
        </w:tc>
      </w:tr>
      <w:tr w:rsidR="00843892" w:rsidRPr="002108FA" w14:paraId="47CF4F44" w14:textId="77777777" w:rsidTr="006E6F6C">
        <w:trPr>
          <w:cnfStyle w:val="000000100000" w:firstRow="0" w:lastRow="0" w:firstColumn="0" w:lastColumn="0" w:oddVBand="0" w:evenVBand="0" w:oddHBand="1" w:evenHBand="0" w:firstRowFirstColumn="0" w:firstRowLastColumn="0" w:lastRowFirstColumn="0" w:lastRowLastColumn="0"/>
          <w:jc w:val="center"/>
        </w:trPr>
        <w:tc>
          <w:tcPr>
            <w:tcW w:w="0" w:type="auto"/>
            <w:vMerge/>
          </w:tcPr>
          <w:p w14:paraId="7505D83D" w14:textId="77777777" w:rsidR="00843892" w:rsidRPr="002108FA" w:rsidRDefault="00843892" w:rsidP="00E75DB3">
            <w:pPr>
              <w:jc w:val="left"/>
            </w:pPr>
          </w:p>
        </w:tc>
        <w:tc>
          <w:tcPr>
            <w:tcW w:w="0" w:type="auto"/>
          </w:tcPr>
          <w:p w14:paraId="7C4588E1" w14:textId="6354A86C" w:rsidR="00843892" w:rsidRPr="002108FA" w:rsidRDefault="00843892" w:rsidP="00E75DB3">
            <w:pPr>
              <w:jc w:val="left"/>
            </w:pPr>
            <w:r>
              <w:t>Ιδιωτική</w:t>
            </w:r>
          </w:p>
        </w:tc>
        <w:tc>
          <w:tcPr>
            <w:tcW w:w="0" w:type="auto"/>
            <w:vAlign w:val="center"/>
          </w:tcPr>
          <w:p w14:paraId="12A10F29" w14:textId="29F9E4E9" w:rsidR="00843892" w:rsidRPr="002108FA" w:rsidRDefault="00843892" w:rsidP="00E75DB3">
            <w:pPr>
              <w:jc w:val="center"/>
            </w:pPr>
            <w:r>
              <w:t>CWP</w:t>
            </w:r>
          </w:p>
        </w:tc>
      </w:tr>
      <w:tr w:rsidR="00E75DB3" w:rsidRPr="002108FA" w14:paraId="53E570B7" w14:textId="77777777" w:rsidTr="006E6F6C">
        <w:trPr>
          <w:jc w:val="center"/>
        </w:trPr>
        <w:tc>
          <w:tcPr>
            <w:tcW w:w="0" w:type="auto"/>
            <w:gridSpan w:val="2"/>
          </w:tcPr>
          <w:p w14:paraId="403DE52C" w14:textId="3559FA12" w:rsidR="00E75DB3" w:rsidRPr="002108FA" w:rsidRDefault="00E75DB3" w:rsidP="00E75DB3">
            <w:pPr>
              <w:jc w:val="left"/>
            </w:pPr>
            <w:r>
              <w:t>Άδεια για χρήση καθεστώτος τελειοποίησης προς επανεξαγωγή</w:t>
            </w:r>
          </w:p>
        </w:tc>
        <w:tc>
          <w:tcPr>
            <w:tcW w:w="0" w:type="auto"/>
            <w:vAlign w:val="center"/>
          </w:tcPr>
          <w:p w14:paraId="218DB1A9" w14:textId="34FC5992" w:rsidR="00E75DB3" w:rsidRPr="002108FA" w:rsidRDefault="00E75DB3" w:rsidP="00E75DB3">
            <w:pPr>
              <w:jc w:val="center"/>
            </w:pPr>
            <w:r>
              <w:t>IPO</w:t>
            </w:r>
          </w:p>
        </w:tc>
      </w:tr>
      <w:tr w:rsidR="00E75DB3" w:rsidRPr="002108FA" w14:paraId="3125A957" w14:textId="77777777" w:rsidTr="006E6F6C">
        <w:trPr>
          <w:cnfStyle w:val="000000100000" w:firstRow="0" w:lastRow="0" w:firstColumn="0" w:lastColumn="0" w:oddVBand="0" w:evenVBand="0" w:oddHBand="1" w:evenHBand="0" w:firstRowFirstColumn="0" w:firstRowLastColumn="0" w:lastRowFirstColumn="0" w:lastRowLastColumn="0"/>
          <w:jc w:val="center"/>
        </w:trPr>
        <w:tc>
          <w:tcPr>
            <w:tcW w:w="0" w:type="auto"/>
            <w:gridSpan w:val="2"/>
          </w:tcPr>
          <w:p w14:paraId="41D50761" w14:textId="01B0A8B1" w:rsidR="00E75DB3" w:rsidRPr="002108FA" w:rsidRDefault="00E75DB3" w:rsidP="00E75DB3">
            <w:pPr>
              <w:jc w:val="left"/>
            </w:pPr>
            <w:r>
              <w:t>Άδεια για χρήση καθεστώτος τελειοποίησης προς επανεισαγωγή</w:t>
            </w:r>
          </w:p>
        </w:tc>
        <w:tc>
          <w:tcPr>
            <w:tcW w:w="0" w:type="auto"/>
            <w:vAlign w:val="center"/>
          </w:tcPr>
          <w:p w14:paraId="2488DA26" w14:textId="53661D4B" w:rsidR="00E75DB3" w:rsidRPr="002108FA" w:rsidRDefault="00E75DB3" w:rsidP="00E75DB3">
            <w:pPr>
              <w:jc w:val="center"/>
            </w:pPr>
            <w:r>
              <w:t>OPO</w:t>
            </w:r>
          </w:p>
        </w:tc>
      </w:tr>
      <w:tr w:rsidR="00E75DB3" w:rsidRPr="002108FA" w14:paraId="5F172DF5" w14:textId="77777777" w:rsidTr="006E6F6C">
        <w:trPr>
          <w:jc w:val="center"/>
        </w:trPr>
        <w:tc>
          <w:tcPr>
            <w:tcW w:w="0" w:type="auto"/>
            <w:gridSpan w:val="2"/>
          </w:tcPr>
          <w:p w14:paraId="3D56C968" w14:textId="142E1305" w:rsidR="00E75DB3" w:rsidRPr="002108FA" w:rsidRDefault="00E75DB3" w:rsidP="00E75DB3">
            <w:pPr>
              <w:jc w:val="left"/>
            </w:pPr>
            <w:r>
              <w:t>Άδεια για την εφαρμογή καθεστώτος ειδικού προορισμού</w:t>
            </w:r>
          </w:p>
        </w:tc>
        <w:tc>
          <w:tcPr>
            <w:tcW w:w="0" w:type="auto"/>
            <w:vAlign w:val="center"/>
          </w:tcPr>
          <w:p w14:paraId="457971FF" w14:textId="6D762E95" w:rsidR="00E75DB3" w:rsidRPr="002108FA" w:rsidRDefault="00E75DB3" w:rsidP="00E75DB3">
            <w:pPr>
              <w:jc w:val="center"/>
            </w:pPr>
            <w:r>
              <w:t>EUS</w:t>
            </w:r>
          </w:p>
        </w:tc>
      </w:tr>
      <w:tr w:rsidR="00E75DB3" w:rsidRPr="002108FA" w14:paraId="6C6765C8" w14:textId="77777777" w:rsidTr="006E6F6C">
        <w:trPr>
          <w:cnfStyle w:val="000000100000" w:firstRow="0" w:lastRow="0" w:firstColumn="0" w:lastColumn="0" w:oddVBand="0" w:evenVBand="0" w:oddHBand="1" w:evenHBand="0" w:firstRowFirstColumn="0" w:firstRowLastColumn="0" w:lastRowFirstColumn="0" w:lastRowLastColumn="0"/>
          <w:jc w:val="center"/>
        </w:trPr>
        <w:tc>
          <w:tcPr>
            <w:tcW w:w="0" w:type="auto"/>
            <w:gridSpan w:val="2"/>
          </w:tcPr>
          <w:p w14:paraId="3089E1D6" w14:textId="469C5B57" w:rsidR="00E75DB3" w:rsidRPr="002108FA" w:rsidRDefault="00E75DB3" w:rsidP="00E75DB3">
            <w:pPr>
              <w:jc w:val="left"/>
            </w:pPr>
            <w:r>
              <w:t>Άδεια για την εφαρμογή καθεστώτος προσωρινής εισαγωγής</w:t>
            </w:r>
          </w:p>
        </w:tc>
        <w:tc>
          <w:tcPr>
            <w:tcW w:w="0" w:type="auto"/>
            <w:vAlign w:val="center"/>
          </w:tcPr>
          <w:p w14:paraId="34A9AD3A" w14:textId="295B1954" w:rsidR="00E75DB3" w:rsidRPr="002108FA" w:rsidRDefault="00E75DB3" w:rsidP="00E75DB3">
            <w:pPr>
              <w:jc w:val="center"/>
            </w:pPr>
            <w:r>
              <w:t>TEA</w:t>
            </w:r>
          </w:p>
        </w:tc>
      </w:tr>
      <w:tr w:rsidR="00B21AD0" w:rsidRPr="002108FA" w14:paraId="68CED097" w14:textId="77777777" w:rsidTr="006E6F6C">
        <w:trPr>
          <w:jc w:val="center"/>
        </w:trPr>
        <w:tc>
          <w:tcPr>
            <w:tcW w:w="0" w:type="auto"/>
            <w:gridSpan w:val="3"/>
            <w:vAlign w:val="center"/>
          </w:tcPr>
          <w:p w14:paraId="2C1CD2C6" w14:textId="6CE5545A" w:rsidR="00B21AD0" w:rsidRPr="002108FA" w:rsidRDefault="00B21AD0" w:rsidP="00E75DB3">
            <w:pPr>
              <w:jc w:val="center"/>
              <w:rPr>
                <w:b/>
              </w:rPr>
            </w:pPr>
            <w:r>
              <w:rPr>
                <w:b/>
              </w:rPr>
              <w:t>Διαμετακόμιση</w:t>
            </w:r>
          </w:p>
        </w:tc>
      </w:tr>
      <w:tr w:rsidR="00E75DB3" w:rsidRPr="002108FA" w14:paraId="7237F1CE" w14:textId="77777777" w:rsidTr="006E6F6C">
        <w:trPr>
          <w:cnfStyle w:val="000000100000" w:firstRow="0" w:lastRow="0" w:firstColumn="0" w:lastColumn="0" w:oddVBand="0" w:evenVBand="0" w:oddHBand="1" w:evenHBand="0" w:firstRowFirstColumn="0" w:firstRowLastColumn="0" w:lastRowFirstColumn="0" w:lastRowLastColumn="0"/>
          <w:jc w:val="center"/>
        </w:trPr>
        <w:tc>
          <w:tcPr>
            <w:tcW w:w="0" w:type="auto"/>
            <w:gridSpan w:val="2"/>
          </w:tcPr>
          <w:p w14:paraId="4D77362C" w14:textId="3FEBBD1C" w:rsidR="00E75DB3" w:rsidRPr="002108FA" w:rsidRDefault="00E75DB3" w:rsidP="00E75DB3">
            <w:pPr>
              <w:jc w:val="left"/>
            </w:pPr>
            <w:r>
              <w:t>Άδεια για καθεστώς του εγκεκριμένου παραλήπτη στο πλαίσιο ενωσιακής διαμετακόμισης</w:t>
            </w:r>
          </w:p>
        </w:tc>
        <w:tc>
          <w:tcPr>
            <w:tcW w:w="0" w:type="auto"/>
            <w:vAlign w:val="center"/>
          </w:tcPr>
          <w:p w14:paraId="7166076E" w14:textId="5FEF39D3" w:rsidR="00E75DB3" w:rsidRPr="002108FA" w:rsidRDefault="00E75DB3" w:rsidP="00E75DB3">
            <w:pPr>
              <w:jc w:val="center"/>
            </w:pPr>
            <w:r>
              <w:t>ACE</w:t>
            </w:r>
          </w:p>
        </w:tc>
      </w:tr>
      <w:tr w:rsidR="00E75DB3" w:rsidRPr="002108FA" w14:paraId="23682E0F" w14:textId="77777777" w:rsidTr="006E6F6C">
        <w:trPr>
          <w:jc w:val="center"/>
        </w:trPr>
        <w:tc>
          <w:tcPr>
            <w:tcW w:w="0" w:type="auto"/>
            <w:gridSpan w:val="2"/>
          </w:tcPr>
          <w:p w14:paraId="18A497BF" w14:textId="51C2B0F7" w:rsidR="00E75DB3" w:rsidRPr="002108FA" w:rsidRDefault="00E75DB3" w:rsidP="00E75DB3">
            <w:pPr>
              <w:jc w:val="left"/>
            </w:pPr>
            <w:r>
              <w:t>Άδεια για καθεστώς του εγκεκριμένου παραλήπτη για τις μεταφορές με δελτίο TIR</w:t>
            </w:r>
          </w:p>
        </w:tc>
        <w:tc>
          <w:tcPr>
            <w:tcW w:w="0" w:type="auto"/>
            <w:vAlign w:val="center"/>
          </w:tcPr>
          <w:p w14:paraId="7D5E3D72" w14:textId="0B754C31" w:rsidR="00E75DB3" w:rsidRPr="002108FA" w:rsidRDefault="00E75DB3" w:rsidP="00E75DB3">
            <w:pPr>
              <w:jc w:val="center"/>
            </w:pPr>
            <w:r>
              <w:t>ACT</w:t>
            </w:r>
          </w:p>
        </w:tc>
      </w:tr>
      <w:tr w:rsidR="00E75DB3" w:rsidRPr="002108FA" w14:paraId="6BF67FEF" w14:textId="77777777" w:rsidTr="006E6F6C">
        <w:trPr>
          <w:cnfStyle w:val="000000100000" w:firstRow="0" w:lastRow="0" w:firstColumn="0" w:lastColumn="0" w:oddVBand="0" w:evenVBand="0" w:oddHBand="1" w:evenHBand="0" w:firstRowFirstColumn="0" w:firstRowLastColumn="0" w:lastRowFirstColumn="0" w:lastRowLastColumn="0"/>
          <w:jc w:val="center"/>
        </w:trPr>
        <w:tc>
          <w:tcPr>
            <w:tcW w:w="0" w:type="auto"/>
            <w:gridSpan w:val="2"/>
          </w:tcPr>
          <w:p w14:paraId="38056486" w14:textId="350BCCBF" w:rsidR="00E75DB3" w:rsidRPr="002108FA" w:rsidRDefault="00E75DB3" w:rsidP="00E75DB3">
            <w:pPr>
              <w:jc w:val="left"/>
            </w:pPr>
            <w:r>
              <w:t>Άδεια για καθεστώς του εγκεκριμένου αποστολέα στο πλαίσιο ενωσιακής διαμετακόμισης</w:t>
            </w:r>
          </w:p>
        </w:tc>
        <w:tc>
          <w:tcPr>
            <w:tcW w:w="0" w:type="auto"/>
            <w:vAlign w:val="center"/>
          </w:tcPr>
          <w:p w14:paraId="41EE3F12" w14:textId="549E8BBC" w:rsidR="00E75DB3" w:rsidRPr="002108FA" w:rsidRDefault="00E75DB3" w:rsidP="00E75DB3">
            <w:pPr>
              <w:jc w:val="center"/>
            </w:pPr>
            <w:r>
              <w:t>ACR</w:t>
            </w:r>
          </w:p>
        </w:tc>
      </w:tr>
      <w:tr w:rsidR="00E75DB3" w:rsidRPr="002108FA" w14:paraId="0DFF46EE" w14:textId="77777777" w:rsidTr="006E6F6C">
        <w:trPr>
          <w:jc w:val="center"/>
        </w:trPr>
        <w:tc>
          <w:tcPr>
            <w:tcW w:w="0" w:type="auto"/>
            <w:gridSpan w:val="2"/>
          </w:tcPr>
          <w:p w14:paraId="4F0695FB" w14:textId="20BA8D23" w:rsidR="00E75DB3" w:rsidRPr="002108FA" w:rsidRDefault="00E75DB3" w:rsidP="00E75DB3">
            <w:pPr>
              <w:jc w:val="left"/>
            </w:pPr>
            <w:r>
              <w:t>Άδεια για την ιδιότητα εγκεκριμένου εκδότη</w:t>
            </w:r>
          </w:p>
        </w:tc>
        <w:tc>
          <w:tcPr>
            <w:tcW w:w="0" w:type="auto"/>
            <w:vAlign w:val="center"/>
          </w:tcPr>
          <w:p w14:paraId="4AB49D31" w14:textId="39EF18D1" w:rsidR="00E75DB3" w:rsidRPr="002108FA" w:rsidRDefault="00E75DB3" w:rsidP="00E75DB3">
            <w:pPr>
              <w:jc w:val="center"/>
            </w:pPr>
            <w:r>
              <w:t>ACP</w:t>
            </w:r>
          </w:p>
        </w:tc>
      </w:tr>
      <w:tr w:rsidR="00E75DB3" w:rsidRPr="002108FA" w14:paraId="4BF1AA97" w14:textId="77777777" w:rsidTr="006E6F6C">
        <w:trPr>
          <w:cnfStyle w:val="000000100000" w:firstRow="0" w:lastRow="0" w:firstColumn="0" w:lastColumn="0" w:oddVBand="0" w:evenVBand="0" w:oddHBand="1" w:evenHBand="0" w:firstRowFirstColumn="0" w:firstRowLastColumn="0" w:lastRowFirstColumn="0" w:lastRowLastColumn="0"/>
          <w:jc w:val="center"/>
        </w:trPr>
        <w:tc>
          <w:tcPr>
            <w:tcW w:w="0" w:type="auto"/>
            <w:gridSpan w:val="2"/>
          </w:tcPr>
          <w:p w14:paraId="43755541" w14:textId="2FC531B6" w:rsidR="00E75DB3" w:rsidRPr="002108FA" w:rsidRDefault="00E75DB3" w:rsidP="00E75DB3">
            <w:pPr>
              <w:jc w:val="left"/>
            </w:pPr>
            <w:r>
              <w:t>Άδεια για χρήση ειδικών τελωνειακών σφραγίδων</w:t>
            </w:r>
          </w:p>
        </w:tc>
        <w:tc>
          <w:tcPr>
            <w:tcW w:w="0" w:type="auto"/>
            <w:vAlign w:val="center"/>
          </w:tcPr>
          <w:p w14:paraId="075466A0" w14:textId="2C75B22C" w:rsidR="00E75DB3" w:rsidRPr="002108FA" w:rsidRDefault="00E75DB3" w:rsidP="00E75DB3">
            <w:pPr>
              <w:jc w:val="center"/>
            </w:pPr>
            <w:r>
              <w:t>SSE</w:t>
            </w:r>
          </w:p>
        </w:tc>
      </w:tr>
      <w:tr w:rsidR="00E75DB3" w:rsidRPr="002108FA" w14:paraId="30E9A21D" w14:textId="77777777" w:rsidTr="006E6F6C">
        <w:trPr>
          <w:jc w:val="center"/>
        </w:trPr>
        <w:tc>
          <w:tcPr>
            <w:tcW w:w="0" w:type="auto"/>
            <w:gridSpan w:val="2"/>
          </w:tcPr>
          <w:p w14:paraId="7805637B" w14:textId="3B10DD39" w:rsidR="00E75DB3" w:rsidRPr="002108FA" w:rsidRDefault="00E75DB3" w:rsidP="00E75DB3">
            <w:pPr>
              <w:jc w:val="left"/>
            </w:pPr>
            <w:r>
              <w:t>Άδεια για χρήση διασάφησης διαμετακόμισης με μειωμένο σύνολο δεδομένων</w:t>
            </w:r>
          </w:p>
        </w:tc>
        <w:tc>
          <w:tcPr>
            <w:tcW w:w="0" w:type="auto"/>
            <w:vAlign w:val="center"/>
          </w:tcPr>
          <w:p w14:paraId="01C6564E" w14:textId="204A2682" w:rsidR="00E75DB3" w:rsidRPr="002108FA" w:rsidRDefault="00E75DB3" w:rsidP="00E75DB3">
            <w:pPr>
              <w:jc w:val="center"/>
            </w:pPr>
            <w:r>
              <w:t>TRD</w:t>
            </w:r>
          </w:p>
        </w:tc>
      </w:tr>
      <w:tr w:rsidR="00E75DB3" w:rsidRPr="002108FA" w14:paraId="7594A864" w14:textId="77777777" w:rsidTr="006E6F6C">
        <w:trPr>
          <w:cnfStyle w:val="000000100000" w:firstRow="0" w:lastRow="0" w:firstColumn="0" w:lastColumn="0" w:oddVBand="0" w:evenVBand="0" w:oddHBand="1" w:evenHBand="0" w:firstRowFirstColumn="0" w:firstRowLastColumn="0" w:lastRowFirstColumn="0" w:lastRowLastColumn="0"/>
          <w:jc w:val="center"/>
        </w:trPr>
        <w:tc>
          <w:tcPr>
            <w:tcW w:w="0" w:type="auto"/>
            <w:gridSpan w:val="2"/>
          </w:tcPr>
          <w:p w14:paraId="272CD769" w14:textId="11039FD6" w:rsidR="00E75DB3" w:rsidRPr="002108FA" w:rsidRDefault="00E75DB3" w:rsidP="00E75DB3">
            <w:pPr>
              <w:jc w:val="left"/>
            </w:pPr>
            <w:r>
              <w:t>Άδεια για χρήση ηλεκτρονικού εγγράφου μεταφοράς ως τελωνειακής διασάφησης</w:t>
            </w:r>
          </w:p>
        </w:tc>
        <w:tc>
          <w:tcPr>
            <w:tcW w:w="0" w:type="auto"/>
            <w:vAlign w:val="center"/>
          </w:tcPr>
          <w:p w14:paraId="7E509C99" w14:textId="2F0993A0" w:rsidR="00E75DB3" w:rsidRPr="002108FA" w:rsidRDefault="00E75DB3" w:rsidP="00E75DB3">
            <w:pPr>
              <w:jc w:val="center"/>
            </w:pPr>
            <w:r>
              <w:t>ETD</w:t>
            </w:r>
          </w:p>
        </w:tc>
      </w:tr>
      <w:tr w:rsidR="00B21AD0" w:rsidRPr="002108FA" w14:paraId="410648E6" w14:textId="77777777" w:rsidTr="006E6F6C">
        <w:trPr>
          <w:jc w:val="center"/>
        </w:trPr>
        <w:tc>
          <w:tcPr>
            <w:tcW w:w="0" w:type="auto"/>
            <w:gridSpan w:val="3"/>
            <w:vAlign w:val="center"/>
          </w:tcPr>
          <w:p w14:paraId="71E388DC" w14:textId="48B45848" w:rsidR="00B21AD0" w:rsidRPr="002108FA" w:rsidRDefault="00B21AD0" w:rsidP="00E75DB3">
            <w:pPr>
              <w:jc w:val="center"/>
              <w:rPr>
                <w:b/>
              </w:rPr>
            </w:pPr>
            <w:r>
              <w:rPr>
                <w:b/>
              </w:rPr>
              <w:t>Τακτική γραμμή θαλάσσιας μεταφοράς</w:t>
            </w:r>
          </w:p>
        </w:tc>
      </w:tr>
      <w:tr w:rsidR="00E75DB3" w:rsidRPr="002108FA" w14:paraId="618F558F" w14:textId="77777777" w:rsidTr="006E6F6C">
        <w:trPr>
          <w:cnfStyle w:val="000000100000" w:firstRow="0" w:lastRow="0" w:firstColumn="0" w:lastColumn="0" w:oddVBand="0" w:evenVBand="0" w:oddHBand="1" w:evenHBand="0" w:firstRowFirstColumn="0" w:firstRowLastColumn="0" w:lastRowFirstColumn="0" w:lastRowLastColumn="0"/>
          <w:jc w:val="center"/>
        </w:trPr>
        <w:tc>
          <w:tcPr>
            <w:tcW w:w="0" w:type="auto"/>
            <w:gridSpan w:val="2"/>
          </w:tcPr>
          <w:p w14:paraId="7A1E3A2F" w14:textId="371291EB" w:rsidR="00E75DB3" w:rsidRPr="002108FA" w:rsidRDefault="00E75DB3" w:rsidP="00E75DB3">
            <w:pPr>
              <w:jc w:val="left"/>
            </w:pPr>
            <w:r>
              <w:t>Άδεια λειτουργίας τακτικής γραμμής θαλάσσιας μεταφοράς</w:t>
            </w:r>
          </w:p>
        </w:tc>
        <w:tc>
          <w:tcPr>
            <w:tcW w:w="0" w:type="auto"/>
            <w:vAlign w:val="center"/>
          </w:tcPr>
          <w:p w14:paraId="74AB0FF0" w14:textId="64B8EB85" w:rsidR="00E75DB3" w:rsidRPr="002108FA" w:rsidRDefault="00E75DB3" w:rsidP="00E75DB3">
            <w:pPr>
              <w:keepNext/>
              <w:jc w:val="center"/>
            </w:pPr>
            <w:r>
              <w:t>RSS</w:t>
            </w:r>
          </w:p>
        </w:tc>
      </w:tr>
      <w:tr w:rsidR="006D4191" w:rsidRPr="002108FA" w14:paraId="22C44F7D" w14:textId="77777777" w:rsidTr="00AC1B92">
        <w:trPr>
          <w:jc w:val="center"/>
        </w:trPr>
        <w:tc>
          <w:tcPr>
            <w:tcW w:w="0" w:type="auto"/>
            <w:gridSpan w:val="3"/>
            <w:vAlign w:val="center"/>
          </w:tcPr>
          <w:p w14:paraId="2D7CAB4C" w14:textId="116A62D8" w:rsidR="006D4191" w:rsidRPr="002108FA" w:rsidRDefault="006D4191" w:rsidP="00AC1B92">
            <w:pPr>
              <w:jc w:val="center"/>
              <w:rPr>
                <w:b/>
              </w:rPr>
            </w:pPr>
            <w:r>
              <w:rPr>
                <w:b/>
              </w:rPr>
              <w:t>Άλλες αιτήσεις</w:t>
            </w:r>
            <w:r>
              <w:rPr>
                <w:rStyle w:val="FootnoteReference"/>
                <w:b/>
              </w:rPr>
              <w:footnoteReference w:id="3"/>
            </w:r>
          </w:p>
        </w:tc>
      </w:tr>
      <w:tr w:rsidR="006D4191" w:rsidRPr="002108FA" w14:paraId="4873AEC4" w14:textId="77777777" w:rsidTr="00AC1B92">
        <w:trPr>
          <w:cnfStyle w:val="000000100000" w:firstRow="0" w:lastRow="0" w:firstColumn="0" w:lastColumn="0" w:oddVBand="0" w:evenVBand="0" w:oddHBand="1" w:evenHBand="0" w:firstRowFirstColumn="0" w:firstRowLastColumn="0" w:lastRowFirstColumn="0" w:lastRowLastColumn="0"/>
          <w:jc w:val="center"/>
        </w:trPr>
        <w:tc>
          <w:tcPr>
            <w:tcW w:w="0" w:type="auto"/>
            <w:gridSpan w:val="2"/>
          </w:tcPr>
          <w:p w14:paraId="602A2FD2" w14:textId="77777777" w:rsidR="006D4191" w:rsidRPr="002108FA" w:rsidRDefault="006D4191" w:rsidP="00AC1B92">
            <w:pPr>
              <w:jc w:val="left"/>
            </w:pPr>
            <w:r>
              <w:t>Άδεια για την παροχή συνολικής εγγύησης, περιλαμβανομένης της πιθανής εγγύησης μειωμένου ποσού ή της απαλλαγής από την υποχρέωση σύστασης εγγύησης</w:t>
            </w:r>
          </w:p>
        </w:tc>
        <w:tc>
          <w:tcPr>
            <w:tcW w:w="0" w:type="auto"/>
            <w:vAlign w:val="center"/>
          </w:tcPr>
          <w:p w14:paraId="4D797B15" w14:textId="77777777" w:rsidR="006D4191" w:rsidRPr="002108FA" w:rsidRDefault="006D4191" w:rsidP="00AC1B92">
            <w:pPr>
              <w:jc w:val="center"/>
            </w:pPr>
            <w:r>
              <w:t>CGU</w:t>
            </w:r>
          </w:p>
        </w:tc>
      </w:tr>
      <w:tr w:rsidR="006D4191" w:rsidRPr="002108FA" w14:paraId="1AD6A4C2" w14:textId="77777777" w:rsidTr="00AC1B92">
        <w:trPr>
          <w:jc w:val="center"/>
        </w:trPr>
        <w:tc>
          <w:tcPr>
            <w:tcW w:w="0" w:type="auto"/>
            <w:gridSpan w:val="2"/>
          </w:tcPr>
          <w:p w14:paraId="190482C0" w14:textId="77777777" w:rsidR="006D4191" w:rsidRPr="002108FA" w:rsidRDefault="006D4191" w:rsidP="00AC1B92">
            <w:pPr>
              <w:jc w:val="left"/>
            </w:pPr>
            <w:r>
              <w:t>Άδεια αναστολής πληρωμής</w:t>
            </w:r>
          </w:p>
        </w:tc>
        <w:tc>
          <w:tcPr>
            <w:tcW w:w="0" w:type="auto"/>
            <w:vAlign w:val="center"/>
          </w:tcPr>
          <w:p w14:paraId="5D18C8A7" w14:textId="77777777" w:rsidR="006D4191" w:rsidRPr="002108FA" w:rsidRDefault="006D4191" w:rsidP="00AC1B92">
            <w:pPr>
              <w:jc w:val="center"/>
            </w:pPr>
            <w:r>
              <w:t>DPO</w:t>
            </w:r>
          </w:p>
        </w:tc>
      </w:tr>
      <w:tr w:rsidR="006D4191" w:rsidRPr="002108FA" w14:paraId="6D8B9294" w14:textId="77777777" w:rsidTr="00AC1B92">
        <w:trPr>
          <w:cnfStyle w:val="000000100000" w:firstRow="0" w:lastRow="0" w:firstColumn="0" w:lastColumn="0" w:oddVBand="0" w:evenVBand="0" w:oddHBand="1" w:evenHBand="0" w:firstRowFirstColumn="0" w:firstRowLastColumn="0" w:lastRowFirstColumn="0" w:lastRowLastColumn="0"/>
          <w:jc w:val="center"/>
        </w:trPr>
        <w:tc>
          <w:tcPr>
            <w:tcW w:w="0" w:type="auto"/>
            <w:gridSpan w:val="2"/>
          </w:tcPr>
          <w:p w14:paraId="377B6425" w14:textId="77777777" w:rsidR="006D4191" w:rsidRPr="002108FA" w:rsidRDefault="006D4191" w:rsidP="00AC1B92">
            <w:pPr>
              <w:jc w:val="left"/>
            </w:pPr>
            <w:r>
              <w:t>Άδεια για την απλούστευση του προσδιορισμού των ποσών που περιλαμβάνονται στη δασμολογητέα αξία των εμπορευμάτων.</w:t>
            </w:r>
          </w:p>
        </w:tc>
        <w:tc>
          <w:tcPr>
            <w:tcW w:w="0" w:type="auto"/>
            <w:vAlign w:val="center"/>
          </w:tcPr>
          <w:p w14:paraId="13BDA5BA" w14:textId="77777777" w:rsidR="006D4191" w:rsidRPr="002108FA" w:rsidRDefault="006D4191" w:rsidP="00AC1B92">
            <w:pPr>
              <w:jc w:val="center"/>
            </w:pPr>
            <w:r>
              <w:t>CVA</w:t>
            </w:r>
          </w:p>
        </w:tc>
      </w:tr>
    </w:tbl>
    <w:p w14:paraId="06B2C305" w14:textId="69C4B21C" w:rsidR="00E75DB3" w:rsidRPr="002108FA" w:rsidRDefault="00E75DB3" w:rsidP="00E75DB3">
      <w:pPr>
        <w:pStyle w:val="Caption"/>
      </w:pPr>
      <w:bookmarkStart w:id="21" w:name="_Ref470099164"/>
      <w:bookmarkStart w:id="22" w:name="_Ref470099158"/>
      <w:r>
        <w:t>Πίνακας </w:t>
      </w:r>
      <w:r>
        <w:rPr>
          <w:noProof/>
        </w:rPr>
        <w:fldChar w:fldCharType="begin"/>
      </w:r>
      <w:r>
        <w:rPr>
          <w:noProof/>
        </w:rPr>
        <w:instrText xml:space="preserve"> SEQ Table \* ARABIC </w:instrText>
      </w:r>
      <w:r>
        <w:rPr>
          <w:noProof/>
        </w:rPr>
        <w:fldChar w:fldCharType="separate"/>
      </w:r>
      <w:r>
        <w:rPr>
          <w:noProof/>
        </w:rPr>
        <w:t>4</w:t>
      </w:r>
      <w:r>
        <w:rPr>
          <w:noProof/>
        </w:rPr>
        <w:fldChar w:fldCharType="end"/>
      </w:r>
      <w:bookmarkEnd w:id="21"/>
      <w:r>
        <w:t xml:space="preserve"> Κωδικοί ειδών αδειών</w:t>
      </w:r>
      <w:bookmarkEnd w:id="22"/>
    </w:p>
    <w:p w14:paraId="5FF15AB3" w14:textId="6F015437" w:rsidR="00656FDE" w:rsidRPr="002108FA" w:rsidRDefault="00656FDE">
      <w:pPr>
        <w:pStyle w:val="Heading2"/>
      </w:pPr>
      <w:r>
        <w:t>Αποφάσεις που αφορούν ένα κράτος μέλος και αποφάσεις που αφορούν πολλά κράτη μέλη</w:t>
      </w:r>
    </w:p>
    <w:p w14:paraId="60F8E78B" w14:textId="2763B07D" w:rsidR="00656FDE" w:rsidRPr="00AC44B1" w:rsidRDefault="00656FDE" w:rsidP="00AC44B1">
      <w:r>
        <w:t>Όπως ορίζεται στην ενότητα </w:t>
      </w:r>
      <w:r>
        <w:fldChar w:fldCharType="begin"/>
      </w:r>
      <w:r>
        <w:instrText xml:space="preserve"> REF _Ref486940420 \r \h </w:instrText>
      </w:r>
      <w:r>
        <w:fldChar w:fldCharType="separate"/>
      </w:r>
      <w:r>
        <w:t>1.5</w:t>
      </w:r>
      <w:r>
        <w:fldChar w:fldCharType="end"/>
      </w:r>
      <w:r>
        <w:t>, η απόφαση που αφορά ένα κράτος μέλος είναι μια απόφαση που επηρεάζει ένα μόνο κράτος μέλος, ενώ η απόφαση που αφορά πολλά κράτη μέλη είναι μια απόφαση που επηρεάζει περισσότερα του ενός κράτη μέλη. Οι δύο αυτές παράμετροι βασίζονται στο στοιχείο «Γεωγραφική ισχύς» που ορίζεται στο παράρτημα Α του εκτελεστικού κανονισμού της Επιτροπής.</w:t>
      </w:r>
    </w:p>
    <w:p w14:paraId="73521ACD" w14:textId="77777777" w:rsidR="00AC44B1" w:rsidRDefault="00634FF2" w:rsidP="00AC44B1">
      <w:r>
        <w:t xml:space="preserve">Ο ορισμός του εν λόγω στοιχείου είναι ο ακόλουθος: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268"/>
      </w:tblGrid>
      <w:tr w:rsidR="00AC44B1" w14:paraId="043F453F" w14:textId="77777777" w:rsidTr="00AC44B1">
        <w:trPr>
          <w:jc w:val="center"/>
        </w:trPr>
        <w:tc>
          <w:tcPr>
            <w:tcW w:w="3369" w:type="dxa"/>
            <w:tcBorders>
              <w:top w:val="single" w:sz="4" w:space="0" w:color="auto"/>
              <w:left w:val="single" w:sz="4" w:space="0" w:color="auto"/>
              <w:right w:val="single" w:sz="4" w:space="0" w:color="auto"/>
            </w:tcBorders>
            <w:vAlign w:val="center"/>
          </w:tcPr>
          <w:p w14:paraId="2CE48BB2" w14:textId="68A42E59" w:rsidR="00AC44B1" w:rsidRPr="00AC44B1" w:rsidRDefault="00AC44B1" w:rsidP="00AC44B1">
            <w:pPr>
              <w:jc w:val="left"/>
            </w:pPr>
            <w:r>
              <w:t>Τίτλος Ι, στοιχείο 1/4</w:t>
            </w:r>
          </w:p>
        </w:tc>
        <w:tc>
          <w:tcPr>
            <w:tcW w:w="2268" w:type="dxa"/>
            <w:tcBorders>
              <w:top w:val="single" w:sz="4" w:space="0" w:color="auto"/>
              <w:left w:val="single" w:sz="4" w:space="0" w:color="auto"/>
              <w:bottom w:val="single" w:sz="4" w:space="0" w:color="auto"/>
              <w:right w:val="single" w:sz="4" w:space="0" w:color="auto"/>
            </w:tcBorders>
            <w:vAlign w:val="center"/>
          </w:tcPr>
          <w:p w14:paraId="56CFFD8F" w14:textId="792E0224" w:rsidR="00AC44B1" w:rsidRDefault="00AC44B1" w:rsidP="00AC44B1">
            <w:pPr>
              <w:jc w:val="left"/>
            </w:pPr>
            <w:r>
              <w:t>Κωδικός: 1x</w:t>
            </w:r>
          </w:p>
        </w:tc>
      </w:tr>
      <w:tr w:rsidR="00AC44B1" w14:paraId="7C6686E6" w14:textId="77777777" w:rsidTr="00AC44B1">
        <w:trPr>
          <w:jc w:val="center"/>
        </w:trPr>
        <w:tc>
          <w:tcPr>
            <w:tcW w:w="3369" w:type="dxa"/>
            <w:tcBorders>
              <w:left w:val="single" w:sz="4" w:space="0" w:color="auto"/>
              <w:bottom w:val="single" w:sz="4" w:space="0" w:color="auto"/>
              <w:right w:val="single" w:sz="4" w:space="0" w:color="auto"/>
            </w:tcBorders>
            <w:vAlign w:val="center"/>
          </w:tcPr>
          <w:p w14:paraId="0A5043C1" w14:textId="1F495C98" w:rsidR="00AC44B1" w:rsidRDefault="00AC44B1" w:rsidP="00AC44B1">
            <w:pPr>
              <w:jc w:val="left"/>
            </w:pPr>
            <w:r>
              <w:t>Γεωγραφική ισχύς – Ένωση</w:t>
            </w:r>
          </w:p>
        </w:tc>
        <w:tc>
          <w:tcPr>
            <w:tcW w:w="2268" w:type="dxa"/>
            <w:tcBorders>
              <w:top w:val="single" w:sz="4" w:space="0" w:color="auto"/>
              <w:left w:val="single" w:sz="4" w:space="0" w:color="auto"/>
              <w:bottom w:val="single" w:sz="4" w:space="0" w:color="auto"/>
              <w:right w:val="single" w:sz="4" w:space="0" w:color="auto"/>
            </w:tcBorders>
            <w:vAlign w:val="center"/>
          </w:tcPr>
          <w:p w14:paraId="4443E9A0" w14:textId="106634A6" w:rsidR="00AC44B1" w:rsidRDefault="00AC44B1" w:rsidP="00AC44B1">
            <w:pPr>
              <w:keepNext/>
              <w:jc w:val="left"/>
            </w:pPr>
            <w:r>
              <w:t>Κωδικός χώρας: 99x</w:t>
            </w:r>
          </w:p>
        </w:tc>
      </w:tr>
    </w:tbl>
    <w:p w14:paraId="64A3A597" w14:textId="2B1A84D2" w:rsidR="00AC44B1" w:rsidRDefault="00AC44B1">
      <w:pPr>
        <w:pStyle w:val="Caption"/>
      </w:pPr>
      <w:r>
        <w:t>Πίνακας </w:t>
      </w:r>
      <w:r>
        <w:rPr>
          <w:noProof/>
        </w:rPr>
        <w:fldChar w:fldCharType="begin"/>
      </w:r>
      <w:r>
        <w:rPr>
          <w:noProof/>
        </w:rPr>
        <w:instrText xml:space="preserve"> SEQ Table \* ARABIC </w:instrText>
      </w:r>
      <w:r>
        <w:rPr>
          <w:noProof/>
        </w:rPr>
        <w:fldChar w:fldCharType="separate"/>
      </w:r>
      <w:r>
        <w:rPr>
          <w:noProof/>
        </w:rPr>
        <w:t>5</w:t>
      </w:r>
      <w:r>
        <w:rPr>
          <w:noProof/>
        </w:rPr>
        <w:fldChar w:fldCharType="end"/>
      </w:r>
      <w:r>
        <w:t xml:space="preserve"> – Ορισμός του στοιχείου «Γεωγραφική ισχύς – Ένωση»</w:t>
      </w:r>
    </w:p>
    <w:p w14:paraId="2CEBDD8B" w14:textId="4A706D93" w:rsidR="00656FDE" w:rsidRPr="00DD3BB0" w:rsidRDefault="008F202C" w:rsidP="00AC44B1">
      <w:pPr>
        <w:spacing w:before="120"/>
        <w:ind w:left="578"/>
      </w:pPr>
      <w:r>
        <w:t>Όπου οι πιθανές τιμές του κωδικού είναι οι ακόλουθες:</w:t>
      </w:r>
    </w:p>
    <w:p w14:paraId="362E55D7" w14:textId="2F8DDB4D" w:rsidR="00656FDE" w:rsidRPr="008F202C" w:rsidRDefault="00634FF2" w:rsidP="00AC44B1">
      <w:pPr>
        <w:pStyle w:val="ListParagraph"/>
        <w:numPr>
          <w:ilvl w:val="0"/>
          <w:numId w:val="53"/>
        </w:numPr>
        <w:ind w:hanging="312"/>
      </w:pPr>
      <w:r>
        <w:t>Αίτηση ή άδεια η οποία ισχύει σε όλα τα κράτη μέλη·</w:t>
      </w:r>
    </w:p>
    <w:p w14:paraId="070E2A3F" w14:textId="5AEEB7DE" w:rsidR="00656FDE" w:rsidRPr="008F202C" w:rsidRDefault="00634FF2" w:rsidP="00AC44B1">
      <w:pPr>
        <w:pStyle w:val="ListParagraph"/>
        <w:numPr>
          <w:ilvl w:val="0"/>
          <w:numId w:val="53"/>
        </w:numPr>
        <w:ind w:hanging="312"/>
      </w:pPr>
      <w:r>
        <w:t>Αίτηση ή άδεια η οποία περιορίζεται σε ορισμένα κράτη μέλη·</w:t>
      </w:r>
    </w:p>
    <w:p w14:paraId="4AF980A5" w14:textId="1E3523C5" w:rsidR="00656FDE" w:rsidRPr="00F53A0E" w:rsidRDefault="00634FF2" w:rsidP="00AC44B1">
      <w:pPr>
        <w:pStyle w:val="ListParagraph"/>
        <w:numPr>
          <w:ilvl w:val="0"/>
          <w:numId w:val="53"/>
        </w:numPr>
        <w:ind w:hanging="312"/>
      </w:pPr>
      <w:r>
        <w:t>Αίτηση ή άδεια η οποία περιορίζεται σε ένα κράτος μέλος.</w:t>
      </w:r>
    </w:p>
    <w:p w14:paraId="5E171E93" w14:textId="77777777" w:rsidR="005B1675" w:rsidRPr="00F53A0E" w:rsidRDefault="005B1675" w:rsidP="00AC44B1"/>
    <w:p w14:paraId="3C546C0F" w14:textId="5D5BC8DA" w:rsidR="00656FDE" w:rsidRPr="00AC44B1" w:rsidRDefault="005B1675" w:rsidP="00AC44B1">
      <w:r>
        <w:t>Ως εκ τούτου, ο κωδικός 1 και ο κωδικός 2 αντιστοιχούν στις αποφάσεις που αφορούν πολλά κράτη μέλη και ο κωδικός 3 αντιστοιχεί στις αποφάσεις που αφορούν ένα κράτος μέλος.</w:t>
      </w:r>
    </w:p>
    <w:p w14:paraId="5115A02D" w14:textId="709E161A" w:rsidR="009950F4" w:rsidRPr="00F53A0E" w:rsidRDefault="00076B28" w:rsidP="00AC44B1">
      <w:r>
        <w:t>Ειδικότερα, για τον κωδικό 2 (Αίτηση ή άδεια η οποία περιορίζεται σε ορισμένα κράτη μέλη), όλα τα κράτη μέλη στα οποία προορίζεται να ισχύει η απόφαση πρέπει να απαριθμούνται ρητά από τον αιτούντα στην αίτηση.</w:t>
      </w:r>
    </w:p>
    <w:p w14:paraId="40D14134" w14:textId="68922DF2" w:rsidR="009F0834" w:rsidRPr="002108FA" w:rsidRDefault="009F0834" w:rsidP="009F0834">
      <w:pPr>
        <w:pStyle w:val="Heading2"/>
      </w:pPr>
      <w:r>
        <w:t>Ροή εργασιών</w:t>
      </w:r>
    </w:p>
    <w:p w14:paraId="3A129A6D" w14:textId="532BFEC5" w:rsidR="009F0834" w:rsidRPr="002108FA" w:rsidRDefault="009F0834" w:rsidP="009F0834">
      <w:r>
        <w:t>Η ροή εργασιών τελωνειακών αποφάσεων μπορεί να διαχωριστεί σε δύο βασικά στάδια:</w:t>
      </w:r>
    </w:p>
    <w:p w14:paraId="4598848E" w14:textId="768A0083" w:rsidR="009F0834" w:rsidRPr="002108FA" w:rsidRDefault="009F0834" w:rsidP="00CF0C93">
      <w:pPr>
        <w:pStyle w:val="ListParagraph"/>
        <w:numPr>
          <w:ilvl w:val="0"/>
          <w:numId w:val="42"/>
        </w:numPr>
        <w:ind w:left="568" w:hanging="284"/>
        <w:contextualSpacing w:val="0"/>
      </w:pPr>
      <w:r>
        <w:rPr>
          <w:b/>
        </w:rPr>
        <w:t>Χορήγηση άδειας</w:t>
      </w:r>
      <w:r>
        <w:t>, που ξεκινά όταν υποβάλλεται αίτηση για τελωνειακή άδεια από συναλλασσόμενο ή αντιπρόσωπό του. Αυτό το στάδιο περιλαμβάνει κυρίως τη διαβούλευση με τα εμπλεκόμενα κράτη μέλη και ολοκληρώνεται σε μία από τις ακόλουθες περιπτώσεις:</w:t>
      </w:r>
    </w:p>
    <w:p w14:paraId="1AA78FFD" w14:textId="7BC2D329" w:rsidR="009F0834" w:rsidRPr="002108FA" w:rsidRDefault="009F0834" w:rsidP="00CF0C93">
      <w:pPr>
        <w:pStyle w:val="ListParagraph"/>
        <w:numPr>
          <w:ilvl w:val="1"/>
          <w:numId w:val="42"/>
        </w:numPr>
        <w:ind w:left="1441" w:hanging="284"/>
        <w:contextualSpacing w:val="0"/>
      </w:pPr>
      <w:r>
        <w:t>η αίτηση απορρίπτεται (δηλαδή η αίτηση δεν γίνεται αποδεκτή)·</w:t>
      </w:r>
    </w:p>
    <w:p w14:paraId="5EE00AF8" w14:textId="66804C89" w:rsidR="009F0834" w:rsidRPr="002108FA" w:rsidRDefault="009F0834" w:rsidP="00CF0C93">
      <w:pPr>
        <w:pStyle w:val="ListParagraph"/>
        <w:numPr>
          <w:ilvl w:val="1"/>
          <w:numId w:val="42"/>
        </w:numPr>
        <w:ind w:left="1441" w:hanging="284"/>
        <w:contextualSpacing w:val="0"/>
      </w:pPr>
      <w:r>
        <w:t>η αίτηση ανακαλείται·</w:t>
      </w:r>
    </w:p>
    <w:p w14:paraId="630508EC" w14:textId="5E9C3284" w:rsidR="009F0834" w:rsidRPr="002108FA" w:rsidRDefault="009F0834" w:rsidP="00CF0C93">
      <w:pPr>
        <w:pStyle w:val="ListParagraph"/>
        <w:numPr>
          <w:ilvl w:val="1"/>
          <w:numId w:val="42"/>
        </w:numPr>
        <w:ind w:left="1441" w:hanging="284"/>
        <w:contextualSpacing w:val="0"/>
      </w:pPr>
      <w:r>
        <w:t>χορηγείται άδεια·</w:t>
      </w:r>
    </w:p>
    <w:p w14:paraId="294AEAF7" w14:textId="4F1638BE" w:rsidR="009F0834" w:rsidRPr="002108FA" w:rsidRDefault="009F0834" w:rsidP="00CF0C93">
      <w:pPr>
        <w:pStyle w:val="ListParagraph"/>
        <w:numPr>
          <w:ilvl w:val="1"/>
          <w:numId w:val="42"/>
        </w:numPr>
        <w:ind w:left="1441" w:hanging="284"/>
        <w:contextualSpacing w:val="0"/>
      </w:pPr>
      <w:r>
        <w:t>δεν χορηγείται άδεια.</w:t>
      </w:r>
    </w:p>
    <w:p w14:paraId="228BB8BA" w14:textId="0AEC35C5" w:rsidR="009F0834" w:rsidRPr="002108FA" w:rsidRDefault="009F0834" w:rsidP="00CF0C93">
      <w:pPr>
        <w:pStyle w:val="ListParagraph"/>
        <w:numPr>
          <w:ilvl w:val="0"/>
          <w:numId w:val="42"/>
        </w:numPr>
        <w:ind w:left="568" w:hanging="284"/>
        <w:contextualSpacing w:val="0"/>
      </w:pPr>
      <w:r>
        <w:rPr>
          <w:b/>
        </w:rPr>
        <w:t>Διαχείριση άδειας</w:t>
      </w:r>
      <w:r>
        <w:t>, που ξεκινά αμέσως μόλις χορηγηθεί η άδεια. Η άδεια εξακολουθεί να ισχύει και μπορεί να επικαιροποιείται με διάφορους τρόπους. Το δεύτερο αυτό στάδιο ολοκληρώνεται όταν η άδεια παύσει να ισχύει.</w:t>
      </w:r>
    </w:p>
    <w:p w14:paraId="22D76ECE" w14:textId="16AE301D" w:rsidR="009F0834" w:rsidRPr="002108FA" w:rsidRDefault="009F0834" w:rsidP="009F0834"/>
    <w:p w14:paraId="041D9DCD" w14:textId="0636D211" w:rsidR="00A1708F" w:rsidRPr="002108FA" w:rsidRDefault="00AD3A80" w:rsidP="00AD3A80">
      <w:pPr>
        <w:pStyle w:val="Caption"/>
      </w:pPr>
      <w:r>
        <w:object w:dxaOrig="8617" w:dyaOrig="4878" w14:anchorId="60938E68">
          <v:shape id="_x0000_i1028" type="#_x0000_t75" style="width:429pt;height:244.5pt" o:ole="">
            <v:imagedata r:id="rId26" o:title=""/>
          </v:shape>
          <o:OLEObject Type="Embed" ProgID="Visio.Drawing.11" ShapeID="_x0000_i1028" DrawAspect="Content" ObjectID="_1611045729" r:id="rId27"/>
        </w:object>
      </w:r>
      <w:r>
        <w:t>Σχήμα </w:t>
      </w:r>
      <w:fldSimple w:instr=" SEQ Figure \* ARABIC ">
        <w:r>
          <w:rPr>
            <w:noProof/>
          </w:rPr>
          <w:t>8</w:t>
        </w:r>
      </w:fldSimple>
      <w:r>
        <w:t xml:space="preserve"> Διαδικασία υψηλού επιπέδου της ροής εργασιών τελωνειακών αποφάσεων</w:t>
      </w:r>
    </w:p>
    <w:p w14:paraId="33787378" w14:textId="652629C7" w:rsidR="009F0834" w:rsidRPr="002108FA" w:rsidRDefault="009F0834" w:rsidP="009F0834"/>
    <w:p w14:paraId="19AB02EF" w14:textId="77777777" w:rsidR="009F0834" w:rsidRPr="002108FA" w:rsidRDefault="009F0834" w:rsidP="009F0834"/>
    <w:p w14:paraId="4AF44457" w14:textId="1BFD174D" w:rsidR="009F0834" w:rsidRPr="002108FA" w:rsidRDefault="009F0834" w:rsidP="009F0834">
      <w:pPr>
        <w:pStyle w:val="Heading3"/>
      </w:pPr>
      <w:r>
        <w:t>Χορήγηση άδειας</w:t>
      </w:r>
    </w:p>
    <w:p w14:paraId="5773A230" w14:textId="2BA2C07D" w:rsidR="004406F7" w:rsidRPr="002108FA" w:rsidRDefault="004406F7" w:rsidP="004406F7">
      <w:r>
        <w:t>Για να χορηγηθεί άδεια, η αίτηση πρέπει να περάσει από δύο βασικές διαδικασίες:</w:t>
      </w:r>
    </w:p>
    <w:p w14:paraId="1DBF399A" w14:textId="0B7810C6" w:rsidR="004406F7" w:rsidRPr="002108FA" w:rsidRDefault="004406F7" w:rsidP="00CF0C93">
      <w:pPr>
        <w:pStyle w:val="ListParagraph"/>
        <w:numPr>
          <w:ilvl w:val="0"/>
          <w:numId w:val="45"/>
        </w:numPr>
        <w:ind w:left="568" w:hanging="284"/>
        <w:contextualSpacing w:val="0"/>
      </w:pPr>
      <w:r>
        <w:t>Αποδοχή αίτησης·</w:t>
      </w:r>
    </w:p>
    <w:p w14:paraId="182824D8" w14:textId="1C1D89A9" w:rsidR="004406F7" w:rsidRPr="002108FA" w:rsidRDefault="004406F7" w:rsidP="00CF0C93">
      <w:pPr>
        <w:pStyle w:val="ListParagraph"/>
        <w:numPr>
          <w:ilvl w:val="0"/>
          <w:numId w:val="45"/>
        </w:numPr>
        <w:ind w:left="568" w:hanging="284"/>
        <w:contextualSpacing w:val="0"/>
      </w:pPr>
      <w:r>
        <w:t>Λήψη απόφασης.</w:t>
      </w:r>
    </w:p>
    <w:p w14:paraId="3436D41D" w14:textId="34CE5A00" w:rsidR="004406F7" w:rsidRPr="002108FA" w:rsidRDefault="004406F7" w:rsidP="004406F7">
      <w:r>
        <w:t>Η πρώτη (</w:t>
      </w:r>
      <w:r>
        <w:rPr>
          <w:b/>
        </w:rPr>
        <w:t>Αποδοχή αίτησης</w:t>
      </w:r>
      <w:r>
        <w:t>) έχει ως στόχο να επαληθεύσει ότι επικυρώνεται μια πρώτη σειρά προϋποθέσεων (οι προϋποθέσεις αποδοχής). Εφόσον πληρούνται όλες οι προϋποθέσεις αποδοχής, ξεκινά το επόμενο στάδιο. Αυτό το πρώτο στάδιο μπορεί να διαρκέσει έως 30 ημέρες (άρθρο 22 παράγραφος 2 του ΕΤΚ) (αυτό το διάστημα μπορεί να παραταθεί ελαφρώς σε περίπτωση που οι τελωνειακές αρχές επικοινωνήσουν με τον συναλλασσόμενο για να λάβουν περισσότερες πληροφορίες).</w:t>
      </w:r>
    </w:p>
    <w:p w14:paraId="791CEE34" w14:textId="35E129C5" w:rsidR="004406F7" w:rsidRPr="002108FA" w:rsidRDefault="004406F7" w:rsidP="004406F7">
      <w:r>
        <w:t xml:space="preserve">Κατά το δεύτερο στάδιο – </w:t>
      </w:r>
      <w:r>
        <w:rPr>
          <w:b/>
        </w:rPr>
        <w:t>Λήψη απόφασης</w:t>
      </w:r>
      <w:r>
        <w:t xml:space="preserve">, ο τελωνειακός υπάλληλος διενεργεί μια πιο ενδελεχή ανάλυση της αίτησης και ελέγχει περαιτέρω αν ο αιτών πληροί τις προϋποθέσεις και τα κριτήρια για τη χορήγηση άδειας. </w:t>
      </w:r>
    </w:p>
    <w:p w14:paraId="50690737" w14:textId="59ED774E" w:rsidR="004406F7" w:rsidRPr="002108FA" w:rsidRDefault="004406F7" w:rsidP="004406F7">
      <w:r>
        <w:t>Για τον σκοπό αυτό, η αρμόδια για τη λήψη απόφασης τελωνειακή αρχή ενδέχεται να χρειάζεται τη βοήθεια των αρχών των εμπλεκόμενων κρατών μελών και/ή να ζητήσει συμπληρωματικές πληροφορίες από τον συναλλασσόμενο. Επομένως, προβλέπεται η επικοινωνία με τους εν λόγω ενδιαφερόμενους φορείς. Από την άλλη πλευρά, ο αιτών δύναται να υποβάλει ορισμένες προσαρμογές στην αίτησή του προκειμένου να βοηθήσει τον τελωνειακό υπάλληλο να λάβει απόφαση. Η διάρκεια του δευτέρου σταδίου είναι μεταξύ 30 και 120 ημέρες (άρθρο 22 παράγραφος 2 του ΕΤΚ) (ανάλογα με το είδος της άδειας) και μπορεί να παραταθεί σε συγκεκριμένες περιστάσεις.</w:t>
      </w:r>
    </w:p>
    <w:p w14:paraId="17EEA6CF" w14:textId="6F24A895" w:rsidR="009F0834" w:rsidRPr="002108FA" w:rsidRDefault="009F0834" w:rsidP="00D7399D">
      <w:pPr>
        <w:pStyle w:val="Heading3"/>
      </w:pPr>
      <w:r>
        <w:t>Διαχείριση άδειας</w:t>
      </w:r>
    </w:p>
    <w:p w14:paraId="5F879B07" w14:textId="114FE890" w:rsidR="002D59F1" w:rsidRPr="002108FA" w:rsidRDefault="00C2790F" w:rsidP="002D59F1">
      <w:pPr>
        <w:pStyle w:val="Caption"/>
        <w:keepNext/>
      </w:pPr>
      <w:r w:rsidRPr="00715AD6">
        <w:rPr>
          <w:noProof/>
          <w:lang w:val="en-GB" w:eastAsia="en-GB" w:bidi="ar-SA"/>
        </w:rPr>
        <w:drawing>
          <wp:inline distT="0" distB="0" distL="0" distR="0" wp14:anchorId="41998D8A" wp14:editId="3AD7CDEF">
            <wp:extent cx="5188585" cy="4391025"/>
            <wp:effectExtent l="0" t="0" r="0" b="9525"/>
            <wp:docPr id="3" name="Picture 3" descr="C:\Users\User\Pictures\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Pictures\Picture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88585" cy="4391025"/>
                    </a:xfrm>
                    <a:prstGeom prst="rect">
                      <a:avLst/>
                    </a:prstGeom>
                    <a:noFill/>
                    <a:ln>
                      <a:noFill/>
                    </a:ln>
                  </pic:spPr>
                </pic:pic>
              </a:graphicData>
            </a:graphic>
          </wp:inline>
        </w:drawing>
      </w:r>
    </w:p>
    <w:p w14:paraId="128B2B4A" w14:textId="38863F2C" w:rsidR="002D59F1" w:rsidRPr="002108FA" w:rsidRDefault="002D59F1" w:rsidP="002D59F1">
      <w:pPr>
        <w:pStyle w:val="Caption"/>
      </w:pPr>
      <w:r>
        <w:t>Σχήμα </w:t>
      </w:r>
      <w:fldSimple w:instr=" SEQ Figure \* ARABIC ">
        <w:r>
          <w:rPr>
            <w:noProof/>
          </w:rPr>
          <w:t>9</w:t>
        </w:r>
      </w:fldSimple>
      <w:r>
        <w:t xml:space="preserve"> Ενέργειες που μπορούν να πραγματοποιηθούν όταν χορηγείται άδεια</w:t>
      </w:r>
    </w:p>
    <w:p w14:paraId="082B6134" w14:textId="530FA3F8" w:rsidR="004406F7" w:rsidRPr="002108FA" w:rsidRDefault="004406F7" w:rsidP="004406F7">
      <w:r>
        <w:t xml:space="preserve">Μετά τη χορήγηση της άδειας στον συναλλασσόμενο, μπορούν να πραγματοποιηθούν περαιτέρω ενέργειες σχετικά με την εν λόγω άδεια: </w:t>
      </w:r>
      <w:bookmarkStart w:id="23" w:name="_GoBack"/>
      <w:bookmarkEnd w:id="23"/>
    </w:p>
    <w:p w14:paraId="06A9D7B7" w14:textId="2BCDE57E" w:rsidR="00423C5B" w:rsidRPr="002108FA" w:rsidRDefault="00423C5B" w:rsidP="00CF0C93">
      <w:pPr>
        <w:pStyle w:val="ListParagraph"/>
        <w:numPr>
          <w:ilvl w:val="0"/>
          <w:numId w:val="45"/>
        </w:numPr>
        <w:ind w:left="568" w:hanging="284"/>
        <w:contextualSpacing w:val="0"/>
      </w:pPr>
      <w:r>
        <w:t>Καμία ενέργεια: η άδεια είναι εντάξει και μπορεί να παραμείνει ενεργή·</w:t>
      </w:r>
    </w:p>
    <w:p w14:paraId="52728F2E" w14:textId="7F64B750" w:rsidR="004406F7" w:rsidRPr="002108FA" w:rsidRDefault="004406F7" w:rsidP="00CF0C93">
      <w:pPr>
        <w:pStyle w:val="ListParagraph"/>
        <w:numPr>
          <w:ilvl w:val="0"/>
          <w:numId w:val="45"/>
        </w:numPr>
        <w:ind w:left="568" w:hanging="284"/>
        <w:contextualSpacing w:val="0"/>
      </w:pPr>
      <w:r>
        <w:t>Τροποποίηση της απόφασης, που έχει ως στόχο την επικαιροποίηση ενός ή περισσότερων στοιχείων της άδειας (άρθρα 22, 23, 28 του ΕΤΚ, άρθρο 10 της εκτελεστικής πράξης)·</w:t>
      </w:r>
    </w:p>
    <w:p w14:paraId="6B713DE5" w14:textId="78C53983" w:rsidR="004406F7" w:rsidRPr="002108FA" w:rsidRDefault="004406F7" w:rsidP="00CF0C93">
      <w:pPr>
        <w:pStyle w:val="ListParagraph"/>
        <w:numPr>
          <w:ilvl w:val="0"/>
          <w:numId w:val="45"/>
        </w:numPr>
        <w:ind w:left="568" w:hanging="284"/>
        <w:contextualSpacing w:val="0"/>
      </w:pPr>
      <w:r>
        <w:t>Αναστολή της απόφασης για συγκεκριμένο χρονικό διάστημα, κατά το οποίο η απόφαση δεν ισχύει πλέον (άρθρα 16, 17, 18 της κατ’ εξουσιοδότηση πράξης, άρθρο 6 του ΕΤΚ, άρθρο 10 της εκτελεστικής πράξης)·</w:t>
      </w:r>
    </w:p>
    <w:p w14:paraId="17589929" w14:textId="3CCBEEFC" w:rsidR="00C85888" w:rsidRPr="002108FA" w:rsidRDefault="00C85888" w:rsidP="00CF0C93">
      <w:pPr>
        <w:pStyle w:val="ListParagraph"/>
        <w:numPr>
          <w:ilvl w:val="0"/>
          <w:numId w:val="45"/>
        </w:numPr>
        <w:ind w:left="568" w:hanging="284"/>
        <w:contextualSpacing w:val="0"/>
      </w:pPr>
      <w:r>
        <w:t>Επανεξέταση της απόφασης, που έχει ως στόχο την επαλήθευση του κατά πόσον η χορηγηθείσα άδεια εξακολουθεί να πληροί τις αρχικές προϋποθέσεις και κριτήρια (άρθρο 15 της κατ’ εξουσιοδότηση πράξης)·</w:t>
      </w:r>
    </w:p>
    <w:p w14:paraId="192F85B7" w14:textId="375C5679" w:rsidR="00744924" w:rsidRPr="002108FA" w:rsidRDefault="00744924" w:rsidP="00CF0C93">
      <w:pPr>
        <w:pStyle w:val="ListParagraph"/>
        <w:numPr>
          <w:ilvl w:val="0"/>
          <w:numId w:val="45"/>
        </w:numPr>
        <w:ind w:left="568" w:hanging="284"/>
        <w:contextualSpacing w:val="0"/>
      </w:pPr>
      <w:r>
        <w:t>Ακύρωση της απόφασης, που έχει ως στόχο να μην μπορεί πλέον να χρησιμοποιηθεί η απόφαση – ωσάν να μην υπήρξε ποτέ (άρθρα 23, 27 του ΕΤΚ, άρθρο 10 της εκτελεστικής πράξης)·</w:t>
      </w:r>
    </w:p>
    <w:p w14:paraId="7883129B" w14:textId="6161B4D5" w:rsidR="00407C42" w:rsidRPr="00DE58D4" w:rsidRDefault="004406F7" w:rsidP="00774E49">
      <w:pPr>
        <w:pStyle w:val="ListParagraph"/>
        <w:numPr>
          <w:ilvl w:val="0"/>
          <w:numId w:val="45"/>
        </w:numPr>
        <w:ind w:left="568" w:hanging="284"/>
        <w:contextualSpacing w:val="0"/>
      </w:pPr>
      <w:r>
        <w:t>Ανάκληση της απόφασης, που έχει ως στόχο να μην μπορεί πλέον να χρησιμοποιηθεί η απόφαση – αλλά με αρχειοθέτησή της (άρθρα 22, 23, 28 του ΕΤΚ, άρθρα 16, 18 της κατ’ εξουσιοδότηση πράξης, άρθρα 10, 15, 259 της εκτελεστικής πράξης)·</w:t>
      </w:r>
    </w:p>
    <w:p w14:paraId="2487C536" w14:textId="48030190" w:rsidR="00C85888" w:rsidRPr="002108FA" w:rsidRDefault="00740B6D" w:rsidP="00740B6D">
      <w:pPr>
        <w:pStyle w:val="Heading3"/>
      </w:pPr>
      <w:r>
        <w:t>Γνωστοποίηση στα εμπλεκόμενα κράτη μέλη</w:t>
      </w:r>
    </w:p>
    <w:p w14:paraId="111C857D" w14:textId="458D8E0C" w:rsidR="00740B6D" w:rsidRPr="002108FA" w:rsidRDefault="00740B6D" w:rsidP="00CF0C93">
      <w:r>
        <w:t>Σε ορισμένες άδειες εμπλέκονται περισσότερα του ενός κράτη μέλη. Τα εν λόγω εμπλεκόμενα κράτη μέλη υπολογίζονται κατά την υποβολή της αίτησης, από το σύστημα τελωνειακών αποφάσεων, με βάση τη γεωγραφική ισχύ που ζητείται από τον αιτούντα.</w:t>
      </w:r>
    </w:p>
    <w:p w14:paraId="10717A23" w14:textId="71010DB9" w:rsidR="006E6F6C" w:rsidRPr="002108FA" w:rsidRDefault="006E6F6C" w:rsidP="00CF0C93">
      <w:r>
        <w:t xml:space="preserve">Η αρμόδια για τη λήψη απόφασης τελωνειακή αρχή μπορεί να </w:t>
      </w:r>
      <w:r>
        <w:rPr>
          <w:b/>
        </w:rPr>
        <w:t>προβαίνει σε διαβούλευση</w:t>
      </w:r>
      <w:r>
        <w:t xml:space="preserve"> με τα πιθανά εμπλεκόμενα κράτη μέλη προτού λάβει την απόφαση (άρθρο 14 της εκτελεστικής πράξης). Επιπλέον, τα κράτη μέλη που περιλαμβάνονται στον κατάλογο των πράγματι εμπλεκόμενων κρατών μελών (ο οποίος χορηγείται από τον τελωνειακό υπάλληλο) θα ενημερώνονται για τη χορήγηση των αδειών στις οποίες εμπλέκονται.</w:t>
      </w:r>
    </w:p>
    <w:p w14:paraId="1F434A30" w14:textId="559FE08A" w:rsidR="00740B6D" w:rsidRPr="002108FA" w:rsidRDefault="006E6F6C" w:rsidP="00CF0C93">
      <w:r>
        <w:t>Μετά τη χορήγηση της άδειας, τα εμπλεκόμενα κράτη μέλη θα πρέπει να ενημερώνονται κάθε φορά που προκύπτει αλλαγή σε κάποια από τις άδειες στις οποίες εμπλέκονται. Ως εκ τούτου, κατά τη διάρκεια οποιασδήποτε διαδικασίας που συνεπάγεται αλλαγή της κατάστασης μιας άδειας και/ή αλλαγή των δεδομένων που συνθέτουν την άδεια, τα κράτη μέλη ενημερώνονται αυτόματα για τις επικαιροποιήσεις.</w:t>
      </w:r>
    </w:p>
    <w:p w14:paraId="76E4C4DA" w14:textId="5F49BEAF" w:rsidR="007930C1" w:rsidRPr="00F53A0E" w:rsidRDefault="007930C1" w:rsidP="00AC44B1">
      <w:pPr>
        <w:pStyle w:val="Heading2"/>
      </w:pPr>
      <w:r>
        <w:t>Μεταφορά υφιστάμενων αδειών</w:t>
      </w:r>
    </w:p>
    <w:p w14:paraId="59B1D7EF" w14:textId="20BCBEA0" w:rsidR="00B7186E" w:rsidRPr="00AE11EE" w:rsidRDefault="00B7186E">
      <w:pPr>
        <w:rPr>
          <w:szCs w:val="20"/>
        </w:rPr>
      </w:pPr>
      <w:r>
        <w:t>Καθώς δεν θα είναι πλέον δυνατός ο χειρισμός έντυπων εκδόσεων των αιτήσεων και αδειών από την ημερομηνία έναρξης της παραγωγικής λειτουργίας του συστήματος τελωνειακών αποφάσεων, πρέπει να πραγματοποιηθεί μεταφορά των υφιστάμενων αδειών.</w:t>
      </w:r>
    </w:p>
    <w:p w14:paraId="6C1E8B08" w14:textId="7A3A8419" w:rsidR="00190DBA" w:rsidRPr="00AE11EE" w:rsidRDefault="007930C1">
      <w:pPr>
        <w:rPr>
          <w:szCs w:val="20"/>
        </w:rPr>
      </w:pPr>
      <w:r>
        <w:t>Εάν η άδεια εκδόθηκε πριν από την 01/05/2016, επανεξετάζεται πριν από την 01/05/2019 (σύμφωνα με το άρθρο 345 της εκτελεστικής πράξης και το άρθρο 250 παράγραφος 1 της κατ’ εξουσιοδότηση πράξης). Κατά περίπτωση, χορηγείται νέα άδεια, η οποία πρέπει να εισαχθεί στο σύστημα (η επανεξετασθείσα άδεια ανακαλείται). Σε περίπτωση που δεν χρειάζεται νέα άδεια, η επανεξετασθείσα άδεια ανακαλείται (και δεν κωδικοποιείται).</w:t>
      </w:r>
    </w:p>
    <w:p w14:paraId="097EC49F" w14:textId="2A45A669" w:rsidR="007930C1" w:rsidRPr="00AE11EE" w:rsidRDefault="007930C1" w:rsidP="00AC44B1">
      <w:pPr>
        <w:spacing w:before="120"/>
        <w:rPr>
          <w:szCs w:val="20"/>
        </w:rPr>
      </w:pPr>
      <w:r>
        <w:t>Εάν η άδεια εκδόθηκε μεταξύ της 01/05/2016 και της ημερομηνίας έναρξης της παραγωγικής λειτουργίας του συστήματος, η άδεια δεν μπορεί να περιλαμβάνει όλα τα στοιχεία που απαιτούνται στο σύστημα (σύμφωνα με το άρθρο 2 παράγραφος 4 της εκτελεστικής πράξης). Σε αυτήν την περίπτωση, οι τελωνειακές αρχές πρέπει να ζητήσουν από τον συναλλασσόμενο τις πληροφορίες που λείπουν πριν εισάγουν την άδεια στο σύστημα. Όλες οι άδειες κωδικοποιούνται στο σύστημα (εφόσον είναι ακόμη ενεργές).</w:t>
      </w:r>
    </w:p>
    <w:p w14:paraId="318FD4D2" w14:textId="19B3D354" w:rsidR="00740B6D" w:rsidRPr="00190DBA" w:rsidRDefault="00740B6D" w:rsidP="00CF0C93"/>
    <w:sectPr w:rsidR="00740B6D" w:rsidRPr="00190DBA" w:rsidSect="0056695E">
      <w:headerReference w:type="default" r:id="rId29"/>
      <w:footerReference w:type="default" r:id="rId30"/>
      <w:pgSz w:w="11906" w:h="16838"/>
      <w:pgMar w:top="2100" w:right="1417" w:bottom="1417" w:left="1417" w:header="7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80E30" w14:textId="77777777" w:rsidR="00D54675" w:rsidRDefault="00D54675">
      <w:r>
        <w:separator/>
      </w:r>
    </w:p>
  </w:endnote>
  <w:endnote w:type="continuationSeparator" w:id="0">
    <w:p w14:paraId="4D2C3438" w14:textId="77777777" w:rsidR="00D54675" w:rsidRDefault="00D54675">
      <w:r>
        <w:continuationSeparator/>
      </w:r>
    </w:p>
  </w:endnote>
  <w:endnote w:type="continuationNotice" w:id="1">
    <w:p w14:paraId="1F3D9511" w14:textId="77777777" w:rsidR="00D54675" w:rsidRDefault="00D5467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OE- Roma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865985"/>
      <w:docPartObj>
        <w:docPartGallery w:val="Page Numbers (Bottom of Page)"/>
        <w:docPartUnique/>
      </w:docPartObj>
    </w:sdtPr>
    <w:sdtEndPr>
      <w:rPr>
        <w:noProof/>
      </w:rPr>
    </w:sdtEndPr>
    <w:sdtContent>
      <w:p w14:paraId="76DA6679" w14:textId="68977EF7" w:rsidR="00D54675" w:rsidRDefault="00D54675">
        <w:pPr>
          <w:pStyle w:val="Footer"/>
          <w:jc w:val="center"/>
        </w:pPr>
        <w:r>
          <w:fldChar w:fldCharType="begin"/>
        </w:r>
        <w:r>
          <w:instrText xml:space="preserve"> PAGE   \* MERGEFORMAT </w:instrText>
        </w:r>
        <w:r>
          <w:fldChar w:fldCharType="separate"/>
        </w:r>
        <w:r w:rsidR="00C2790F">
          <w:rPr>
            <w:noProof/>
          </w:rPr>
          <w:t>19</w:t>
        </w:r>
        <w:r>
          <w:rPr>
            <w:noProof/>
          </w:rPr>
          <w:fldChar w:fldCharType="end"/>
        </w:r>
      </w:p>
    </w:sdtContent>
  </w:sdt>
  <w:p w14:paraId="34865883" w14:textId="77777777" w:rsidR="00D54675" w:rsidRDefault="00D54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B6F96" w14:textId="77777777" w:rsidR="00D54675" w:rsidRDefault="00D54675">
      <w:r>
        <w:separator/>
      </w:r>
    </w:p>
  </w:footnote>
  <w:footnote w:type="continuationSeparator" w:id="0">
    <w:p w14:paraId="123EB5E0" w14:textId="77777777" w:rsidR="00D54675" w:rsidRDefault="00D54675">
      <w:r>
        <w:continuationSeparator/>
      </w:r>
    </w:p>
  </w:footnote>
  <w:footnote w:type="continuationNotice" w:id="1">
    <w:p w14:paraId="05E54BDC" w14:textId="77777777" w:rsidR="00D54675" w:rsidRDefault="00D54675">
      <w:pPr>
        <w:spacing w:after="0"/>
      </w:pPr>
    </w:p>
  </w:footnote>
  <w:footnote w:id="2">
    <w:p w14:paraId="0708B817" w14:textId="3644B836" w:rsidR="00D54675" w:rsidRPr="003715A7" w:rsidRDefault="00D54675" w:rsidP="00FF71F2">
      <w:pPr>
        <w:pStyle w:val="FootnoteText"/>
      </w:pPr>
      <w:r>
        <w:rPr>
          <w:rStyle w:val="FootnoteReference"/>
        </w:rPr>
        <w:footnoteRef/>
      </w:r>
      <w:r>
        <w:t xml:space="preserve"> Η ονομασία του ρόλου στο CCN2 λαμβάνεται με σύνδεση του «CCN2.Role.CDMS.» με το όνομα του ρόλου στο CDMS γραμμένο χωρίς κενά, με κεφαλαίο το πρώτο γράμμα κάθε λέξης (Camel case). Για παράδειγμα, ο ρόλος στο CCN2 που αντιστοιχεί στην ονομασία «Accept Customs Application» στο CDMS είναι «CCN2.Role.CDMS.AcceptCustomsApplication».</w:t>
      </w:r>
    </w:p>
  </w:footnote>
  <w:footnote w:id="3">
    <w:p w14:paraId="395EB323" w14:textId="4F693CCD" w:rsidR="00D54675" w:rsidRPr="006D4191" w:rsidRDefault="00D54675">
      <w:pPr>
        <w:pStyle w:val="FootnoteText"/>
        <w:rPr>
          <w:b/>
        </w:rPr>
      </w:pPr>
      <w:r>
        <w:rPr>
          <w:rStyle w:val="FootnoteReference"/>
          <w:b/>
        </w:rPr>
        <w:footnoteRef/>
      </w:r>
      <w:r>
        <w:t xml:space="preserve"> </w:t>
      </w:r>
      <w:r>
        <w:t>καλούνται επίσης αιτήσεις για «Τυπική διαδικασία», ιδίως στις διαδικασίες ροής εργασιών που αναφέρονται στην ενότητα </w:t>
      </w:r>
      <w:r>
        <w:fldChar w:fldCharType="begin"/>
      </w:r>
      <w:r>
        <w:instrText xml:space="preserve"> REF _Ref484095787 \r \h </w:instrText>
      </w:r>
      <w:r>
        <w:fldChar w:fldCharType="separate"/>
      </w:r>
      <w:r>
        <w:t>1.1.3</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B0BFD" w14:textId="77777777" w:rsidR="00D54675" w:rsidRPr="00D6659F" w:rsidRDefault="00D54675" w:rsidP="009A5DA5">
    <w:pPr>
      <w:pStyle w:val="Header"/>
    </w:pPr>
  </w:p>
  <w:p w14:paraId="1317932C" w14:textId="77777777" w:rsidR="00D54675" w:rsidRPr="008C7CBE" w:rsidRDefault="00D54675" w:rsidP="009A5DA5">
    <w:pPr>
      <w:pStyle w:val="Header"/>
    </w:pPr>
  </w:p>
  <w:p w14:paraId="0A75C38C" w14:textId="77777777" w:rsidR="00D54675" w:rsidRPr="009A5DA5" w:rsidRDefault="00D54675" w:rsidP="009A5DA5">
    <w:pPr>
      <w:pStyle w:val="Header"/>
    </w:pPr>
  </w:p>
  <w:p w14:paraId="62DB8D0D" w14:textId="77777777" w:rsidR="00D54675" w:rsidRDefault="00D546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400F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951E0"/>
    <w:multiLevelType w:val="hybridMultilevel"/>
    <w:tmpl w:val="97A414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2F75E92"/>
    <w:multiLevelType w:val="multilevel"/>
    <w:tmpl w:val="B666FD9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04"/>
        </w:tabs>
        <w:ind w:left="1004"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692"/>
        </w:tabs>
        <w:ind w:left="169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76259ED"/>
    <w:multiLevelType w:val="hybridMultilevel"/>
    <w:tmpl w:val="659EEF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7951F8C"/>
    <w:multiLevelType w:val="hybridMultilevel"/>
    <w:tmpl w:val="C2BAFBB4"/>
    <w:lvl w:ilvl="0" w:tplc="D450BB66">
      <w:start w:val="1"/>
      <w:numFmt w:val="bullet"/>
      <w:pStyle w:val="minute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403590"/>
    <w:multiLevelType w:val="hybridMultilevel"/>
    <w:tmpl w:val="444A4FC0"/>
    <w:lvl w:ilvl="0" w:tplc="552AA5E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OE- 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OE- 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D360473"/>
    <w:multiLevelType w:val="hybridMultilevel"/>
    <w:tmpl w:val="21F4E04C"/>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A046FB"/>
    <w:multiLevelType w:val="hybridMultilevel"/>
    <w:tmpl w:val="4652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C30445"/>
    <w:multiLevelType w:val="hybridMultilevel"/>
    <w:tmpl w:val="0ED461AE"/>
    <w:lvl w:ilvl="0" w:tplc="C58E79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4227FA7"/>
    <w:multiLevelType w:val="hybridMultilevel"/>
    <w:tmpl w:val="F86C0880"/>
    <w:lvl w:ilvl="0" w:tplc="A8322662">
      <w:start w:val="1"/>
      <w:numFmt w:val="bullet"/>
      <w:pStyle w:val="sousrubriqu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080D2F"/>
    <w:multiLevelType w:val="hybridMultilevel"/>
    <w:tmpl w:val="92820B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EE0BCD"/>
    <w:multiLevelType w:val="hybridMultilevel"/>
    <w:tmpl w:val="1C6E1220"/>
    <w:lvl w:ilvl="0" w:tplc="6FDEF09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C7596E"/>
    <w:multiLevelType w:val="hybridMultilevel"/>
    <w:tmpl w:val="5A3AD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BD2AC7"/>
    <w:multiLevelType w:val="hybridMultilevel"/>
    <w:tmpl w:val="F7807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B66D1B"/>
    <w:multiLevelType w:val="hybridMultilevel"/>
    <w:tmpl w:val="0B260E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OE-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OE-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OE- 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F03466"/>
    <w:multiLevelType w:val="hybridMultilevel"/>
    <w:tmpl w:val="6F0ED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CC7A49"/>
    <w:multiLevelType w:val="multilevel"/>
    <w:tmpl w:val="2700AFA8"/>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cs="Times New Roman" w:hint="default"/>
        <w:sz w:val="20"/>
      </w:rPr>
    </w:lvl>
    <w:lvl w:ilvl="2">
      <w:start w:val="1"/>
      <w:numFmt w:val="bullet"/>
      <w:lvlText w:val=""/>
      <w:lvlJc w:val="left"/>
      <w:pPr>
        <w:tabs>
          <w:tab w:val="num" w:pos="2084"/>
        </w:tabs>
        <w:ind w:left="2084" w:hanging="360"/>
      </w:pPr>
      <w:rPr>
        <w:rFonts w:ascii="Wingdings" w:hAnsi="Wingdings" w:hint="default"/>
        <w:sz w:val="20"/>
      </w:rPr>
    </w:lvl>
    <w:lvl w:ilvl="3">
      <w:start w:val="1"/>
      <w:numFmt w:val="bullet"/>
      <w:lvlText w:val=""/>
      <w:lvlJc w:val="left"/>
      <w:pPr>
        <w:tabs>
          <w:tab w:val="num" w:pos="2804"/>
        </w:tabs>
        <w:ind w:left="2804" w:hanging="360"/>
      </w:pPr>
      <w:rPr>
        <w:rFonts w:ascii="Symbol" w:hAnsi="Symbol" w:hint="default"/>
        <w:sz w:val="20"/>
      </w:rPr>
    </w:lvl>
    <w:lvl w:ilvl="4">
      <w:start w:val="1"/>
      <w:numFmt w:val="bullet"/>
      <w:lvlText w:val=""/>
      <w:lvlJc w:val="left"/>
      <w:pPr>
        <w:tabs>
          <w:tab w:val="num" w:pos="3524"/>
        </w:tabs>
        <w:ind w:left="3524" w:hanging="360"/>
      </w:pPr>
      <w:rPr>
        <w:rFonts w:ascii="Symbol" w:hAnsi="Symbol" w:hint="default"/>
        <w:sz w:val="20"/>
      </w:rPr>
    </w:lvl>
    <w:lvl w:ilvl="5">
      <w:start w:val="1"/>
      <w:numFmt w:val="bullet"/>
      <w:lvlText w:val=""/>
      <w:lvlJc w:val="left"/>
      <w:pPr>
        <w:tabs>
          <w:tab w:val="num" w:pos="4244"/>
        </w:tabs>
        <w:ind w:left="4244" w:hanging="360"/>
      </w:pPr>
      <w:rPr>
        <w:rFonts w:ascii="Symbol" w:hAnsi="Symbol" w:hint="default"/>
        <w:sz w:val="20"/>
      </w:rPr>
    </w:lvl>
    <w:lvl w:ilvl="6">
      <w:start w:val="1"/>
      <w:numFmt w:val="bullet"/>
      <w:lvlText w:val=""/>
      <w:lvlJc w:val="left"/>
      <w:pPr>
        <w:tabs>
          <w:tab w:val="num" w:pos="4964"/>
        </w:tabs>
        <w:ind w:left="4964" w:hanging="360"/>
      </w:pPr>
      <w:rPr>
        <w:rFonts w:ascii="Symbol" w:hAnsi="Symbol" w:hint="default"/>
        <w:sz w:val="20"/>
      </w:rPr>
    </w:lvl>
    <w:lvl w:ilvl="7">
      <w:start w:val="1"/>
      <w:numFmt w:val="bullet"/>
      <w:lvlText w:val=""/>
      <w:lvlJc w:val="left"/>
      <w:pPr>
        <w:tabs>
          <w:tab w:val="num" w:pos="5684"/>
        </w:tabs>
        <w:ind w:left="5684" w:hanging="360"/>
      </w:pPr>
      <w:rPr>
        <w:rFonts w:ascii="Symbol" w:hAnsi="Symbol" w:hint="default"/>
        <w:sz w:val="20"/>
      </w:rPr>
    </w:lvl>
    <w:lvl w:ilvl="8">
      <w:start w:val="1"/>
      <w:numFmt w:val="bullet"/>
      <w:lvlText w:val=""/>
      <w:lvlJc w:val="left"/>
      <w:pPr>
        <w:tabs>
          <w:tab w:val="num" w:pos="6404"/>
        </w:tabs>
        <w:ind w:left="6404" w:hanging="360"/>
      </w:pPr>
      <w:rPr>
        <w:rFonts w:ascii="Symbol" w:hAnsi="Symbol" w:hint="default"/>
        <w:sz w:val="20"/>
      </w:rPr>
    </w:lvl>
  </w:abstractNum>
  <w:abstractNum w:abstractNumId="17">
    <w:nsid w:val="23FE0E63"/>
    <w:multiLevelType w:val="hybridMultilevel"/>
    <w:tmpl w:val="1E923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73A1E81"/>
    <w:multiLevelType w:val="hybridMultilevel"/>
    <w:tmpl w:val="C32053C6"/>
    <w:lvl w:ilvl="0" w:tplc="0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7577E4A"/>
    <w:multiLevelType w:val="hybridMultilevel"/>
    <w:tmpl w:val="3AEA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9C22EB1"/>
    <w:multiLevelType w:val="hybridMultilevel"/>
    <w:tmpl w:val="F8E2BDA6"/>
    <w:lvl w:ilvl="0" w:tplc="0409000F">
      <w:start w:val="1"/>
      <w:numFmt w:val="bullet"/>
      <w:lvlText w:val=""/>
      <w:lvlJc w:val="left"/>
      <w:pPr>
        <w:tabs>
          <w:tab w:val="num" w:pos="851"/>
        </w:tabs>
        <w:ind w:left="851" w:hanging="284"/>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numFmt w:val="bullet"/>
      <w:lvlText w:val="-"/>
      <w:lvlJc w:val="left"/>
      <w:pPr>
        <w:tabs>
          <w:tab w:val="num" w:pos="2160"/>
        </w:tabs>
        <w:ind w:left="2160" w:hanging="360"/>
      </w:pPr>
      <w:rPr>
        <w:rFonts w:ascii="Univers 47 CondensedLight" w:eastAsia="Times New Roman" w:hAnsi="Univers 47 CondensedLight"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2A750BEF"/>
    <w:multiLevelType w:val="hybridMultilevel"/>
    <w:tmpl w:val="614E630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D571D9F"/>
    <w:multiLevelType w:val="hybridMultilevel"/>
    <w:tmpl w:val="C79E9F22"/>
    <w:lvl w:ilvl="0" w:tplc="57A23F96">
      <w:start w:val="1"/>
      <w:numFmt w:val="decimal"/>
      <w:lvlText w:val="%1"/>
      <w:lvlJc w:val="left"/>
      <w:pPr>
        <w:ind w:left="1446" w:hanging="87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3">
    <w:nsid w:val="2ED2621A"/>
    <w:multiLevelType w:val="hybridMultilevel"/>
    <w:tmpl w:val="A6B01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4F55F92"/>
    <w:multiLevelType w:val="hybridMultilevel"/>
    <w:tmpl w:val="7CECF6C8"/>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5">
    <w:nsid w:val="35900339"/>
    <w:multiLevelType w:val="hybridMultilevel"/>
    <w:tmpl w:val="943C50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36906C73"/>
    <w:multiLevelType w:val="hybridMultilevel"/>
    <w:tmpl w:val="7742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CA71E79"/>
    <w:multiLevelType w:val="hybridMultilevel"/>
    <w:tmpl w:val="976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CE71F44"/>
    <w:multiLevelType w:val="hybridMultilevel"/>
    <w:tmpl w:val="72ACA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E9C2650"/>
    <w:multiLevelType w:val="hybridMultilevel"/>
    <w:tmpl w:val="AC384DAE"/>
    <w:lvl w:ilvl="0" w:tplc="A8BCD366">
      <w:start w:val="1"/>
      <w:numFmt w:val="bullet"/>
      <w:lvlText w:val=""/>
      <w:lvlJc w:val="left"/>
      <w:pPr>
        <w:ind w:left="420" w:hanging="360"/>
      </w:pPr>
      <w:rPr>
        <w:rFonts w:ascii="Symbol" w:eastAsia="Times New Roman"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0">
    <w:nsid w:val="429D4989"/>
    <w:multiLevelType w:val="hybridMultilevel"/>
    <w:tmpl w:val="97F6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4040083"/>
    <w:multiLevelType w:val="hybridMultilevel"/>
    <w:tmpl w:val="5F1E7668"/>
    <w:lvl w:ilvl="0" w:tplc="0409000F">
      <w:start w:val="1"/>
      <w:numFmt w:val="bullet"/>
      <w:lvlText w:val=""/>
      <w:lvlJc w:val="left"/>
      <w:pPr>
        <w:tabs>
          <w:tab w:val="num" w:pos="720"/>
        </w:tabs>
        <w:ind w:left="720" w:hanging="360"/>
      </w:pPr>
      <w:rPr>
        <w:rFonts w:ascii="Symbol" w:hAnsi="Symbol" w:hint="default"/>
      </w:rPr>
    </w:lvl>
    <w:lvl w:ilvl="1" w:tplc="040C0019">
      <w:start w:val="1"/>
      <w:numFmt w:val="bullet"/>
      <w:lvlText w:val="o"/>
      <w:lvlJc w:val="left"/>
      <w:pPr>
        <w:tabs>
          <w:tab w:val="num" w:pos="1440"/>
        </w:tabs>
        <w:ind w:left="1440" w:hanging="360"/>
      </w:pPr>
      <w:rPr>
        <w:rFonts w:ascii="Courier New" w:hAnsi="Courier New" w:cs="Times OE-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Times OE- Roman"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Times OE- Roman"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2">
    <w:nsid w:val="44070603"/>
    <w:multiLevelType w:val="hybridMultilevel"/>
    <w:tmpl w:val="9D8A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413489F"/>
    <w:multiLevelType w:val="hybridMultilevel"/>
    <w:tmpl w:val="9E9E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81D5723"/>
    <w:multiLevelType w:val="hybridMultilevel"/>
    <w:tmpl w:val="205478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AC36A85"/>
    <w:multiLevelType w:val="hybridMultilevel"/>
    <w:tmpl w:val="666A4FE6"/>
    <w:lvl w:ilvl="0" w:tplc="568C99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B9C5C18"/>
    <w:multiLevelType w:val="hybridMultilevel"/>
    <w:tmpl w:val="A37A1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E781736"/>
    <w:multiLevelType w:val="hybridMultilevel"/>
    <w:tmpl w:val="3792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074387F"/>
    <w:multiLevelType w:val="hybridMultilevel"/>
    <w:tmpl w:val="5E428E14"/>
    <w:lvl w:ilvl="0" w:tplc="42285354">
      <w:start w:val="1"/>
      <w:numFmt w:val="bullet"/>
      <w:lvlText w:val="o"/>
      <w:lvlJc w:val="left"/>
      <w:pPr>
        <w:tabs>
          <w:tab w:val="num" w:pos="720"/>
        </w:tabs>
        <w:ind w:left="720" w:hanging="360"/>
      </w:pPr>
      <w:rPr>
        <w:rFonts w:ascii="Courier New" w:hAnsi="Courier New" w:hint="default"/>
      </w:rPr>
    </w:lvl>
    <w:lvl w:ilvl="1" w:tplc="42866848" w:tentative="1">
      <w:start w:val="1"/>
      <w:numFmt w:val="bullet"/>
      <w:lvlText w:val="o"/>
      <w:lvlJc w:val="left"/>
      <w:pPr>
        <w:tabs>
          <w:tab w:val="num" w:pos="1440"/>
        </w:tabs>
        <w:ind w:left="1440" w:hanging="360"/>
      </w:pPr>
      <w:rPr>
        <w:rFonts w:ascii="Courier New" w:hAnsi="Courier New" w:hint="default"/>
      </w:rPr>
    </w:lvl>
    <w:lvl w:ilvl="2" w:tplc="15DCE786">
      <w:start w:val="1"/>
      <w:numFmt w:val="bullet"/>
      <w:lvlText w:val="o"/>
      <w:lvlJc w:val="left"/>
      <w:pPr>
        <w:tabs>
          <w:tab w:val="num" w:pos="2160"/>
        </w:tabs>
        <w:ind w:left="2160" w:hanging="360"/>
      </w:pPr>
      <w:rPr>
        <w:rFonts w:ascii="Courier New" w:hAnsi="Courier New" w:hint="default"/>
      </w:rPr>
    </w:lvl>
    <w:lvl w:ilvl="3" w:tplc="95B0F8F0" w:tentative="1">
      <w:start w:val="1"/>
      <w:numFmt w:val="bullet"/>
      <w:lvlText w:val="o"/>
      <w:lvlJc w:val="left"/>
      <w:pPr>
        <w:tabs>
          <w:tab w:val="num" w:pos="2880"/>
        </w:tabs>
        <w:ind w:left="2880" w:hanging="360"/>
      </w:pPr>
      <w:rPr>
        <w:rFonts w:ascii="Courier New" w:hAnsi="Courier New" w:hint="default"/>
      </w:rPr>
    </w:lvl>
    <w:lvl w:ilvl="4" w:tplc="96C69A46" w:tentative="1">
      <w:start w:val="1"/>
      <w:numFmt w:val="bullet"/>
      <w:lvlText w:val="o"/>
      <w:lvlJc w:val="left"/>
      <w:pPr>
        <w:tabs>
          <w:tab w:val="num" w:pos="3600"/>
        </w:tabs>
        <w:ind w:left="3600" w:hanging="360"/>
      </w:pPr>
      <w:rPr>
        <w:rFonts w:ascii="Courier New" w:hAnsi="Courier New" w:hint="default"/>
      </w:rPr>
    </w:lvl>
    <w:lvl w:ilvl="5" w:tplc="1C2C0582" w:tentative="1">
      <w:start w:val="1"/>
      <w:numFmt w:val="bullet"/>
      <w:lvlText w:val="o"/>
      <w:lvlJc w:val="left"/>
      <w:pPr>
        <w:tabs>
          <w:tab w:val="num" w:pos="4320"/>
        </w:tabs>
        <w:ind w:left="4320" w:hanging="360"/>
      </w:pPr>
      <w:rPr>
        <w:rFonts w:ascii="Courier New" w:hAnsi="Courier New" w:hint="default"/>
      </w:rPr>
    </w:lvl>
    <w:lvl w:ilvl="6" w:tplc="A9E8D79E" w:tentative="1">
      <w:start w:val="1"/>
      <w:numFmt w:val="bullet"/>
      <w:lvlText w:val="o"/>
      <w:lvlJc w:val="left"/>
      <w:pPr>
        <w:tabs>
          <w:tab w:val="num" w:pos="5040"/>
        </w:tabs>
        <w:ind w:left="5040" w:hanging="360"/>
      </w:pPr>
      <w:rPr>
        <w:rFonts w:ascii="Courier New" w:hAnsi="Courier New" w:hint="default"/>
      </w:rPr>
    </w:lvl>
    <w:lvl w:ilvl="7" w:tplc="42D6960A" w:tentative="1">
      <w:start w:val="1"/>
      <w:numFmt w:val="bullet"/>
      <w:lvlText w:val="o"/>
      <w:lvlJc w:val="left"/>
      <w:pPr>
        <w:tabs>
          <w:tab w:val="num" w:pos="5760"/>
        </w:tabs>
        <w:ind w:left="5760" w:hanging="360"/>
      </w:pPr>
      <w:rPr>
        <w:rFonts w:ascii="Courier New" w:hAnsi="Courier New" w:hint="default"/>
      </w:rPr>
    </w:lvl>
    <w:lvl w:ilvl="8" w:tplc="68841C48" w:tentative="1">
      <w:start w:val="1"/>
      <w:numFmt w:val="bullet"/>
      <w:lvlText w:val="o"/>
      <w:lvlJc w:val="left"/>
      <w:pPr>
        <w:tabs>
          <w:tab w:val="num" w:pos="6480"/>
        </w:tabs>
        <w:ind w:left="6480" w:hanging="360"/>
      </w:pPr>
      <w:rPr>
        <w:rFonts w:ascii="Courier New" w:hAnsi="Courier New" w:hint="default"/>
      </w:rPr>
    </w:lvl>
  </w:abstractNum>
  <w:abstractNum w:abstractNumId="39">
    <w:nsid w:val="50994B43"/>
    <w:multiLevelType w:val="hybridMultilevel"/>
    <w:tmpl w:val="01DA74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52FB38C8"/>
    <w:multiLevelType w:val="hybridMultilevel"/>
    <w:tmpl w:val="284E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5626138"/>
    <w:multiLevelType w:val="hybridMultilevel"/>
    <w:tmpl w:val="C32CFE4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42">
    <w:nsid w:val="55E7543C"/>
    <w:multiLevelType w:val="hybridMultilevel"/>
    <w:tmpl w:val="81A660BA"/>
    <w:lvl w:ilvl="0" w:tplc="D69EE966">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6331992"/>
    <w:multiLevelType w:val="hybridMultilevel"/>
    <w:tmpl w:val="5124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1013F5E"/>
    <w:multiLevelType w:val="hybridMultilevel"/>
    <w:tmpl w:val="701AF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2553171"/>
    <w:multiLevelType w:val="hybridMultilevel"/>
    <w:tmpl w:val="8C9A8718"/>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53F6A98"/>
    <w:multiLevelType w:val="hybridMultilevel"/>
    <w:tmpl w:val="40E0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59726A3"/>
    <w:multiLevelType w:val="hybridMultilevel"/>
    <w:tmpl w:val="4E0E0572"/>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OE-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OE- 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6FA727B7"/>
    <w:multiLevelType w:val="hybridMultilevel"/>
    <w:tmpl w:val="4B42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1435EA7"/>
    <w:multiLevelType w:val="hybridMultilevel"/>
    <w:tmpl w:val="89AE6996"/>
    <w:lvl w:ilvl="0" w:tplc="F0AEFFB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40001CF"/>
    <w:multiLevelType w:val="hybridMultilevel"/>
    <w:tmpl w:val="18B2BB4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1">
    <w:nsid w:val="744836C9"/>
    <w:multiLevelType w:val="hybridMultilevel"/>
    <w:tmpl w:val="0CF20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7A281125"/>
    <w:multiLevelType w:val="hybridMultilevel"/>
    <w:tmpl w:val="BC4E7C4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3">
    <w:nsid w:val="7C05218A"/>
    <w:multiLevelType w:val="hybridMultilevel"/>
    <w:tmpl w:val="B30439D4"/>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EB36FBD"/>
    <w:multiLevelType w:val="hybridMultilevel"/>
    <w:tmpl w:val="01020F20"/>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num w:numId="1">
    <w:abstractNumId w:val="2"/>
  </w:num>
  <w:num w:numId="2">
    <w:abstractNumId w:val="4"/>
  </w:num>
  <w:num w:numId="3">
    <w:abstractNumId w:val="9"/>
  </w:num>
  <w:num w:numId="4">
    <w:abstractNumId w:val="0"/>
  </w:num>
  <w:num w:numId="5">
    <w:abstractNumId w:val="20"/>
  </w:num>
  <w:num w:numId="6">
    <w:abstractNumId w:val="1"/>
  </w:num>
  <w:num w:numId="7">
    <w:abstractNumId w:val="3"/>
  </w:num>
  <w:num w:numId="8">
    <w:abstractNumId w:val="47"/>
  </w:num>
  <w:num w:numId="9">
    <w:abstractNumId w:val="39"/>
  </w:num>
  <w:num w:numId="10">
    <w:abstractNumId w:val="36"/>
  </w:num>
  <w:num w:numId="11">
    <w:abstractNumId w:val="25"/>
  </w:num>
  <w:num w:numId="12">
    <w:abstractNumId w:val="44"/>
  </w:num>
  <w:num w:numId="13">
    <w:abstractNumId w:val="23"/>
  </w:num>
  <w:num w:numId="14">
    <w:abstractNumId w:val="13"/>
  </w:num>
  <w:num w:numId="15">
    <w:abstractNumId w:val="19"/>
  </w:num>
  <w:num w:numId="16">
    <w:abstractNumId w:val="5"/>
  </w:num>
  <w:num w:numId="17">
    <w:abstractNumId w:val="14"/>
  </w:num>
  <w:num w:numId="18">
    <w:abstractNumId w:val="31"/>
  </w:num>
  <w:num w:numId="19">
    <w:abstractNumId w:val="53"/>
  </w:num>
  <w:num w:numId="20">
    <w:abstractNumId w:val="15"/>
  </w:num>
  <w:num w:numId="21">
    <w:abstractNumId w:val="46"/>
  </w:num>
  <w:num w:numId="22">
    <w:abstractNumId w:val="30"/>
  </w:num>
  <w:num w:numId="23">
    <w:abstractNumId w:val="43"/>
  </w:num>
  <w:num w:numId="24">
    <w:abstractNumId w:val="32"/>
  </w:num>
  <w:num w:numId="25">
    <w:abstractNumId w:val="40"/>
  </w:num>
  <w:num w:numId="26">
    <w:abstractNumId w:val="48"/>
  </w:num>
  <w:num w:numId="27">
    <w:abstractNumId w:val="37"/>
  </w:num>
  <w:num w:numId="28">
    <w:abstractNumId w:val="7"/>
  </w:num>
  <w:num w:numId="29">
    <w:abstractNumId w:val="12"/>
  </w:num>
  <w:num w:numId="30">
    <w:abstractNumId w:val="41"/>
  </w:num>
  <w:num w:numId="31">
    <w:abstractNumId w:val="51"/>
  </w:num>
  <w:num w:numId="32">
    <w:abstractNumId w:val="52"/>
  </w:num>
  <w:num w:numId="33">
    <w:abstractNumId w:val="18"/>
  </w:num>
  <w:num w:numId="34">
    <w:abstractNumId w:val="24"/>
  </w:num>
  <w:num w:numId="35">
    <w:abstractNumId w:val="26"/>
  </w:num>
  <w:num w:numId="36">
    <w:abstractNumId w:val="27"/>
  </w:num>
  <w:num w:numId="37">
    <w:abstractNumId w:val="11"/>
  </w:num>
  <w:num w:numId="38">
    <w:abstractNumId w:val="8"/>
  </w:num>
  <w:num w:numId="39">
    <w:abstractNumId w:val="35"/>
  </w:num>
  <w:num w:numId="40">
    <w:abstractNumId w:val="45"/>
  </w:num>
  <w:num w:numId="41">
    <w:abstractNumId w:val="6"/>
  </w:num>
  <w:num w:numId="42">
    <w:abstractNumId w:val="21"/>
  </w:num>
  <w:num w:numId="43">
    <w:abstractNumId w:val="29"/>
  </w:num>
  <w:num w:numId="44">
    <w:abstractNumId w:val="34"/>
  </w:num>
  <w:num w:numId="45">
    <w:abstractNumId w:val="49"/>
  </w:num>
  <w:num w:numId="46">
    <w:abstractNumId w:val="10"/>
  </w:num>
  <w:num w:numId="47">
    <w:abstractNumId w:val="50"/>
  </w:num>
  <w:num w:numId="48">
    <w:abstractNumId w:val="17"/>
  </w:num>
  <w:num w:numId="49">
    <w:abstractNumId w:val="42"/>
  </w:num>
  <w:num w:numId="50">
    <w:abstractNumId w:val="28"/>
  </w:num>
  <w:num w:numId="51">
    <w:abstractNumId w:val="33"/>
  </w:num>
  <w:num w:numId="52">
    <w:abstractNumId w:val="54"/>
  </w:num>
  <w:num w:numId="53">
    <w:abstractNumId w:val="22"/>
  </w:num>
  <w:num w:numId="54">
    <w:abstractNumId w:val="16"/>
  </w:num>
  <w:num w:numId="55">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4577">
      <o:colormru v:ext="edit" colors="#f5f5f5,#e0e0e0,#cdcdcd,#aeaeae"/>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EPLATE"/>
  </w:docVars>
  <w:rsids>
    <w:rsidRoot w:val="00083E1D"/>
    <w:rsid w:val="00000375"/>
    <w:rsid w:val="000003EE"/>
    <w:rsid w:val="00000619"/>
    <w:rsid w:val="00000632"/>
    <w:rsid w:val="000008BE"/>
    <w:rsid w:val="000009E8"/>
    <w:rsid w:val="00000D78"/>
    <w:rsid w:val="000014D3"/>
    <w:rsid w:val="00001570"/>
    <w:rsid w:val="0000199B"/>
    <w:rsid w:val="00001D8D"/>
    <w:rsid w:val="00002158"/>
    <w:rsid w:val="00002C29"/>
    <w:rsid w:val="00002C7A"/>
    <w:rsid w:val="00003423"/>
    <w:rsid w:val="00003564"/>
    <w:rsid w:val="000039F8"/>
    <w:rsid w:val="00003B90"/>
    <w:rsid w:val="00003C53"/>
    <w:rsid w:val="0000428D"/>
    <w:rsid w:val="0000435C"/>
    <w:rsid w:val="000043B4"/>
    <w:rsid w:val="00004C4B"/>
    <w:rsid w:val="00004DF6"/>
    <w:rsid w:val="00005551"/>
    <w:rsid w:val="00005576"/>
    <w:rsid w:val="00005756"/>
    <w:rsid w:val="00005FF7"/>
    <w:rsid w:val="00006220"/>
    <w:rsid w:val="00007190"/>
    <w:rsid w:val="000072E9"/>
    <w:rsid w:val="00007B45"/>
    <w:rsid w:val="00007C08"/>
    <w:rsid w:val="00007C0E"/>
    <w:rsid w:val="000116F9"/>
    <w:rsid w:val="00011A55"/>
    <w:rsid w:val="00011C0C"/>
    <w:rsid w:val="000122E1"/>
    <w:rsid w:val="00012DED"/>
    <w:rsid w:val="0001348C"/>
    <w:rsid w:val="00014198"/>
    <w:rsid w:val="0001486E"/>
    <w:rsid w:val="0001486F"/>
    <w:rsid w:val="00014B78"/>
    <w:rsid w:val="00014CDA"/>
    <w:rsid w:val="00014F5C"/>
    <w:rsid w:val="0001568D"/>
    <w:rsid w:val="00016453"/>
    <w:rsid w:val="00016BC7"/>
    <w:rsid w:val="00016C35"/>
    <w:rsid w:val="00016E32"/>
    <w:rsid w:val="00016E6D"/>
    <w:rsid w:val="00016FC8"/>
    <w:rsid w:val="00017A9D"/>
    <w:rsid w:val="00017B72"/>
    <w:rsid w:val="00020075"/>
    <w:rsid w:val="00020501"/>
    <w:rsid w:val="00020981"/>
    <w:rsid w:val="000209E5"/>
    <w:rsid w:val="00020A90"/>
    <w:rsid w:val="00020BE3"/>
    <w:rsid w:val="00020C45"/>
    <w:rsid w:val="000218D3"/>
    <w:rsid w:val="00021E01"/>
    <w:rsid w:val="000220DB"/>
    <w:rsid w:val="0002216D"/>
    <w:rsid w:val="00022503"/>
    <w:rsid w:val="00022531"/>
    <w:rsid w:val="0002264D"/>
    <w:rsid w:val="00022F59"/>
    <w:rsid w:val="000230D1"/>
    <w:rsid w:val="00023989"/>
    <w:rsid w:val="00023EDD"/>
    <w:rsid w:val="000240D8"/>
    <w:rsid w:val="00024411"/>
    <w:rsid w:val="000256C8"/>
    <w:rsid w:val="0002592B"/>
    <w:rsid w:val="00025B16"/>
    <w:rsid w:val="00025F90"/>
    <w:rsid w:val="00026236"/>
    <w:rsid w:val="00026AD3"/>
    <w:rsid w:val="00026C2E"/>
    <w:rsid w:val="00026C5B"/>
    <w:rsid w:val="00026F95"/>
    <w:rsid w:val="00026FD9"/>
    <w:rsid w:val="000272C4"/>
    <w:rsid w:val="00027314"/>
    <w:rsid w:val="00027579"/>
    <w:rsid w:val="00027648"/>
    <w:rsid w:val="00027688"/>
    <w:rsid w:val="00027A80"/>
    <w:rsid w:val="00027AC5"/>
    <w:rsid w:val="00027B5A"/>
    <w:rsid w:val="00027E3F"/>
    <w:rsid w:val="00030AA0"/>
    <w:rsid w:val="00031157"/>
    <w:rsid w:val="0003153F"/>
    <w:rsid w:val="00031FAF"/>
    <w:rsid w:val="000330C6"/>
    <w:rsid w:val="000336F6"/>
    <w:rsid w:val="000339D7"/>
    <w:rsid w:val="000339E0"/>
    <w:rsid w:val="00034073"/>
    <w:rsid w:val="0003441E"/>
    <w:rsid w:val="0003442E"/>
    <w:rsid w:val="00034E65"/>
    <w:rsid w:val="00034F2C"/>
    <w:rsid w:val="0003504F"/>
    <w:rsid w:val="00035366"/>
    <w:rsid w:val="00035D14"/>
    <w:rsid w:val="00036A92"/>
    <w:rsid w:val="00037089"/>
    <w:rsid w:val="0003740C"/>
    <w:rsid w:val="00037A5C"/>
    <w:rsid w:val="00040014"/>
    <w:rsid w:val="0004063A"/>
    <w:rsid w:val="00040643"/>
    <w:rsid w:val="0004148A"/>
    <w:rsid w:val="000416E9"/>
    <w:rsid w:val="00042093"/>
    <w:rsid w:val="00042119"/>
    <w:rsid w:val="000424F8"/>
    <w:rsid w:val="00042B5C"/>
    <w:rsid w:val="00042E18"/>
    <w:rsid w:val="00043294"/>
    <w:rsid w:val="00043B64"/>
    <w:rsid w:val="00044845"/>
    <w:rsid w:val="000448D3"/>
    <w:rsid w:val="00044A51"/>
    <w:rsid w:val="00044D09"/>
    <w:rsid w:val="00045093"/>
    <w:rsid w:val="000450C5"/>
    <w:rsid w:val="000453F7"/>
    <w:rsid w:val="00045F0C"/>
    <w:rsid w:val="00046530"/>
    <w:rsid w:val="00046B55"/>
    <w:rsid w:val="00046DEF"/>
    <w:rsid w:val="000474DF"/>
    <w:rsid w:val="0004753A"/>
    <w:rsid w:val="0004762F"/>
    <w:rsid w:val="00047A51"/>
    <w:rsid w:val="00047C3F"/>
    <w:rsid w:val="000501DE"/>
    <w:rsid w:val="00050267"/>
    <w:rsid w:val="00050644"/>
    <w:rsid w:val="00050D1C"/>
    <w:rsid w:val="00050F80"/>
    <w:rsid w:val="00051057"/>
    <w:rsid w:val="00051187"/>
    <w:rsid w:val="0005123F"/>
    <w:rsid w:val="00051357"/>
    <w:rsid w:val="00051531"/>
    <w:rsid w:val="00051C2D"/>
    <w:rsid w:val="00052908"/>
    <w:rsid w:val="000529C8"/>
    <w:rsid w:val="00052A57"/>
    <w:rsid w:val="00053180"/>
    <w:rsid w:val="000531A9"/>
    <w:rsid w:val="00053793"/>
    <w:rsid w:val="0005465A"/>
    <w:rsid w:val="00054930"/>
    <w:rsid w:val="00055007"/>
    <w:rsid w:val="000557C8"/>
    <w:rsid w:val="00055D95"/>
    <w:rsid w:val="00055F44"/>
    <w:rsid w:val="00056499"/>
    <w:rsid w:val="00057992"/>
    <w:rsid w:val="00057CCF"/>
    <w:rsid w:val="00057DA8"/>
    <w:rsid w:val="00060474"/>
    <w:rsid w:val="0006064C"/>
    <w:rsid w:val="00060CCC"/>
    <w:rsid w:val="00061729"/>
    <w:rsid w:val="00061973"/>
    <w:rsid w:val="00061B9D"/>
    <w:rsid w:val="00062043"/>
    <w:rsid w:val="00062F40"/>
    <w:rsid w:val="00062F50"/>
    <w:rsid w:val="00063202"/>
    <w:rsid w:val="00063392"/>
    <w:rsid w:val="00063706"/>
    <w:rsid w:val="00063882"/>
    <w:rsid w:val="00065230"/>
    <w:rsid w:val="000654E5"/>
    <w:rsid w:val="00065702"/>
    <w:rsid w:val="00065F26"/>
    <w:rsid w:val="000662A1"/>
    <w:rsid w:val="00066659"/>
    <w:rsid w:val="00066716"/>
    <w:rsid w:val="00066BF4"/>
    <w:rsid w:val="00066E0F"/>
    <w:rsid w:val="00067179"/>
    <w:rsid w:val="000675E9"/>
    <w:rsid w:val="00067DC4"/>
    <w:rsid w:val="00070C8E"/>
    <w:rsid w:val="00071561"/>
    <w:rsid w:val="00071655"/>
    <w:rsid w:val="000716CC"/>
    <w:rsid w:val="00071AD0"/>
    <w:rsid w:val="00071D2F"/>
    <w:rsid w:val="00071EDC"/>
    <w:rsid w:val="000727EA"/>
    <w:rsid w:val="00072F03"/>
    <w:rsid w:val="0007334A"/>
    <w:rsid w:val="00073719"/>
    <w:rsid w:val="00074C66"/>
    <w:rsid w:val="0007502F"/>
    <w:rsid w:val="000755F3"/>
    <w:rsid w:val="00076477"/>
    <w:rsid w:val="0007648E"/>
    <w:rsid w:val="00076898"/>
    <w:rsid w:val="00076B28"/>
    <w:rsid w:val="00076B5F"/>
    <w:rsid w:val="00076D0C"/>
    <w:rsid w:val="00080728"/>
    <w:rsid w:val="00080DD2"/>
    <w:rsid w:val="00081E04"/>
    <w:rsid w:val="000826EE"/>
    <w:rsid w:val="0008288C"/>
    <w:rsid w:val="00082894"/>
    <w:rsid w:val="000832D0"/>
    <w:rsid w:val="0008387E"/>
    <w:rsid w:val="00083BCA"/>
    <w:rsid w:val="00083BF3"/>
    <w:rsid w:val="00083DCA"/>
    <w:rsid w:val="00083E1D"/>
    <w:rsid w:val="000846E7"/>
    <w:rsid w:val="00084A17"/>
    <w:rsid w:val="000852B0"/>
    <w:rsid w:val="000859B4"/>
    <w:rsid w:val="00085A23"/>
    <w:rsid w:val="00085F1E"/>
    <w:rsid w:val="000863D1"/>
    <w:rsid w:val="00086BA6"/>
    <w:rsid w:val="00086ECD"/>
    <w:rsid w:val="00087139"/>
    <w:rsid w:val="00087273"/>
    <w:rsid w:val="00087B8F"/>
    <w:rsid w:val="00087E41"/>
    <w:rsid w:val="00090996"/>
    <w:rsid w:val="00090D54"/>
    <w:rsid w:val="00090DE0"/>
    <w:rsid w:val="00090E0B"/>
    <w:rsid w:val="00090EF0"/>
    <w:rsid w:val="0009134D"/>
    <w:rsid w:val="00092297"/>
    <w:rsid w:val="00092340"/>
    <w:rsid w:val="0009244E"/>
    <w:rsid w:val="00092990"/>
    <w:rsid w:val="00092F26"/>
    <w:rsid w:val="00092F3C"/>
    <w:rsid w:val="00093382"/>
    <w:rsid w:val="00093BE7"/>
    <w:rsid w:val="00093CC6"/>
    <w:rsid w:val="00093F23"/>
    <w:rsid w:val="00094665"/>
    <w:rsid w:val="00094A24"/>
    <w:rsid w:val="00094C60"/>
    <w:rsid w:val="00095780"/>
    <w:rsid w:val="0009587F"/>
    <w:rsid w:val="00096725"/>
    <w:rsid w:val="00097274"/>
    <w:rsid w:val="00097A11"/>
    <w:rsid w:val="00097EC2"/>
    <w:rsid w:val="000A0CBB"/>
    <w:rsid w:val="000A0E04"/>
    <w:rsid w:val="000A0EB8"/>
    <w:rsid w:val="000A13B2"/>
    <w:rsid w:val="000A1790"/>
    <w:rsid w:val="000A1919"/>
    <w:rsid w:val="000A2B0B"/>
    <w:rsid w:val="000A2FE2"/>
    <w:rsid w:val="000A442F"/>
    <w:rsid w:val="000A4BAF"/>
    <w:rsid w:val="000A4C6C"/>
    <w:rsid w:val="000A59DE"/>
    <w:rsid w:val="000A5AB4"/>
    <w:rsid w:val="000A62A0"/>
    <w:rsid w:val="000A6840"/>
    <w:rsid w:val="000A686D"/>
    <w:rsid w:val="000A6FB4"/>
    <w:rsid w:val="000A6FDB"/>
    <w:rsid w:val="000A7320"/>
    <w:rsid w:val="000A7ADF"/>
    <w:rsid w:val="000A7B57"/>
    <w:rsid w:val="000B0DF9"/>
    <w:rsid w:val="000B1C52"/>
    <w:rsid w:val="000B294A"/>
    <w:rsid w:val="000B2BFC"/>
    <w:rsid w:val="000B3143"/>
    <w:rsid w:val="000B3999"/>
    <w:rsid w:val="000B3C17"/>
    <w:rsid w:val="000B3D62"/>
    <w:rsid w:val="000B3E72"/>
    <w:rsid w:val="000B3ED3"/>
    <w:rsid w:val="000B4E3B"/>
    <w:rsid w:val="000B50C3"/>
    <w:rsid w:val="000B5152"/>
    <w:rsid w:val="000B53B6"/>
    <w:rsid w:val="000B563D"/>
    <w:rsid w:val="000B5CA3"/>
    <w:rsid w:val="000B658A"/>
    <w:rsid w:val="000B74FC"/>
    <w:rsid w:val="000B761B"/>
    <w:rsid w:val="000B7D12"/>
    <w:rsid w:val="000C0114"/>
    <w:rsid w:val="000C0246"/>
    <w:rsid w:val="000C0835"/>
    <w:rsid w:val="000C09F0"/>
    <w:rsid w:val="000C1CEC"/>
    <w:rsid w:val="000C287C"/>
    <w:rsid w:val="000C2EC8"/>
    <w:rsid w:val="000C413C"/>
    <w:rsid w:val="000C46F4"/>
    <w:rsid w:val="000C4D60"/>
    <w:rsid w:val="000C528D"/>
    <w:rsid w:val="000C629E"/>
    <w:rsid w:val="000C6C6F"/>
    <w:rsid w:val="000C6E04"/>
    <w:rsid w:val="000C7311"/>
    <w:rsid w:val="000C76CE"/>
    <w:rsid w:val="000D07AD"/>
    <w:rsid w:val="000D0BAF"/>
    <w:rsid w:val="000D0D4C"/>
    <w:rsid w:val="000D1346"/>
    <w:rsid w:val="000D16B9"/>
    <w:rsid w:val="000D2795"/>
    <w:rsid w:val="000D2E6F"/>
    <w:rsid w:val="000D3F90"/>
    <w:rsid w:val="000D52CF"/>
    <w:rsid w:val="000D5790"/>
    <w:rsid w:val="000D5BDB"/>
    <w:rsid w:val="000D5D9C"/>
    <w:rsid w:val="000D5DA1"/>
    <w:rsid w:val="000D6834"/>
    <w:rsid w:val="000D69B4"/>
    <w:rsid w:val="000D6A49"/>
    <w:rsid w:val="000D7BB2"/>
    <w:rsid w:val="000E01BB"/>
    <w:rsid w:val="000E0247"/>
    <w:rsid w:val="000E0DC7"/>
    <w:rsid w:val="000E10A8"/>
    <w:rsid w:val="000E11D9"/>
    <w:rsid w:val="000E2162"/>
    <w:rsid w:val="000E2425"/>
    <w:rsid w:val="000E2444"/>
    <w:rsid w:val="000E2B06"/>
    <w:rsid w:val="000E3310"/>
    <w:rsid w:val="000E3EF9"/>
    <w:rsid w:val="000E4544"/>
    <w:rsid w:val="000E4B54"/>
    <w:rsid w:val="000E5096"/>
    <w:rsid w:val="000E5B6B"/>
    <w:rsid w:val="000E64B4"/>
    <w:rsid w:val="000E6629"/>
    <w:rsid w:val="000E6C0B"/>
    <w:rsid w:val="000E6D89"/>
    <w:rsid w:val="000E6E6D"/>
    <w:rsid w:val="000E6E91"/>
    <w:rsid w:val="000E7581"/>
    <w:rsid w:val="000E7CC4"/>
    <w:rsid w:val="000F0B9B"/>
    <w:rsid w:val="000F160F"/>
    <w:rsid w:val="000F16A3"/>
    <w:rsid w:val="000F1828"/>
    <w:rsid w:val="000F1848"/>
    <w:rsid w:val="000F1CB1"/>
    <w:rsid w:val="000F1D7F"/>
    <w:rsid w:val="000F2023"/>
    <w:rsid w:val="000F2084"/>
    <w:rsid w:val="000F2781"/>
    <w:rsid w:val="000F2900"/>
    <w:rsid w:val="000F326A"/>
    <w:rsid w:val="000F40AC"/>
    <w:rsid w:val="000F40B5"/>
    <w:rsid w:val="000F5132"/>
    <w:rsid w:val="000F5147"/>
    <w:rsid w:val="000F569A"/>
    <w:rsid w:val="000F632B"/>
    <w:rsid w:val="000F63E8"/>
    <w:rsid w:val="000F6968"/>
    <w:rsid w:val="000F699B"/>
    <w:rsid w:val="000F6A9A"/>
    <w:rsid w:val="000F6E54"/>
    <w:rsid w:val="000F6E95"/>
    <w:rsid w:val="00101002"/>
    <w:rsid w:val="001010A0"/>
    <w:rsid w:val="00101568"/>
    <w:rsid w:val="00101914"/>
    <w:rsid w:val="00101A6F"/>
    <w:rsid w:val="00101AAD"/>
    <w:rsid w:val="0010258C"/>
    <w:rsid w:val="00102E9A"/>
    <w:rsid w:val="0010326F"/>
    <w:rsid w:val="0010352B"/>
    <w:rsid w:val="00103CFD"/>
    <w:rsid w:val="001043D5"/>
    <w:rsid w:val="00104B7C"/>
    <w:rsid w:val="00104E9E"/>
    <w:rsid w:val="00104FD1"/>
    <w:rsid w:val="0010556A"/>
    <w:rsid w:val="00106017"/>
    <w:rsid w:val="00106357"/>
    <w:rsid w:val="00106980"/>
    <w:rsid w:val="00106A26"/>
    <w:rsid w:val="00106BD3"/>
    <w:rsid w:val="00107AA8"/>
    <w:rsid w:val="00107C67"/>
    <w:rsid w:val="0011038C"/>
    <w:rsid w:val="00110631"/>
    <w:rsid w:val="0011065A"/>
    <w:rsid w:val="001106B2"/>
    <w:rsid w:val="00110FBF"/>
    <w:rsid w:val="00111054"/>
    <w:rsid w:val="001118FF"/>
    <w:rsid w:val="00111D2C"/>
    <w:rsid w:val="00111DF1"/>
    <w:rsid w:val="00111E6A"/>
    <w:rsid w:val="001120F4"/>
    <w:rsid w:val="001123CC"/>
    <w:rsid w:val="00112DAF"/>
    <w:rsid w:val="00113128"/>
    <w:rsid w:val="00113362"/>
    <w:rsid w:val="00113581"/>
    <w:rsid w:val="00113ACA"/>
    <w:rsid w:val="00113E45"/>
    <w:rsid w:val="00115554"/>
    <w:rsid w:val="00115B66"/>
    <w:rsid w:val="00115FFB"/>
    <w:rsid w:val="0011700E"/>
    <w:rsid w:val="001175C4"/>
    <w:rsid w:val="00117E8D"/>
    <w:rsid w:val="0012061B"/>
    <w:rsid w:val="00120AF1"/>
    <w:rsid w:val="0012107D"/>
    <w:rsid w:val="00121081"/>
    <w:rsid w:val="001213A2"/>
    <w:rsid w:val="00121AB7"/>
    <w:rsid w:val="00121ED7"/>
    <w:rsid w:val="00121F43"/>
    <w:rsid w:val="001228CA"/>
    <w:rsid w:val="00122D64"/>
    <w:rsid w:val="00124FCC"/>
    <w:rsid w:val="00125315"/>
    <w:rsid w:val="00125B97"/>
    <w:rsid w:val="00125EEB"/>
    <w:rsid w:val="001260E9"/>
    <w:rsid w:val="00126BFF"/>
    <w:rsid w:val="00127B6C"/>
    <w:rsid w:val="0013090C"/>
    <w:rsid w:val="001309C3"/>
    <w:rsid w:val="00130A4F"/>
    <w:rsid w:val="00131360"/>
    <w:rsid w:val="00131590"/>
    <w:rsid w:val="00131757"/>
    <w:rsid w:val="0013178A"/>
    <w:rsid w:val="00131FC0"/>
    <w:rsid w:val="001322DE"/>
    <w:rsid w:val="00132426"/>
    <w:rsid w:val="001324F0"/>
    <w:rsid w:val="00132C4E"/>
    <w:rsid w:val="00132E9D"/>
    <w:rsid w:val="00133492"/>
    <w:rsid w:val="001338B3"/>
    <w:rsid w:val="00133A48"/>
    <w:rsid w:val="00133CBE"/>
    <w:rsid w:val="00133D14"/>
    <w:rsid w:val="00133F4C"/>
    <w:rsid w:val="001340F0"/>
    <w:rsid w:val="001348AC"/>
    <w:rsid w:val="00134AD0"/>
    <w:rsid w:val="001350D8"/>
    <w:rsid w:val="00135513"/>
    <w:rsid w:val="001357CF"/>
    <w:rsid w:val="00135F4C"/>
    <w:rsid w:val="00136426"/>
    <w:rsid w:val="00136DCF"/>
    <w:rsid w:val="0013777E"/>
    <w:rsid w:val="00137C97"/>
    <w:rsid w:val="00140838"/>
    <w:rsid w:val="001408B4"/>
    <w:rsid w:val="0014097F"/>
    <w:rsid w:val="00140EC2"/>
    <w:rsid w:val="001414B3"/>
    <w:rsid w:val="001415CA"/>
    <w:rsid w:val="001419E4"/>
    <w:rsid w:val="001424DE"/>
    <w:rsid w:val="001429CC"/>
    <w:rsid w:val="00142BF4"/>
    <w:rsid w:val="00143DBC"/>
    <w:rsid w:val="0014409A"/>
    <w:rsid w:val="001443AA"/>
    <w:rsid w:val="001449AF"/>
    <w:rsid w:val="00144BDA"/>
    <w:rsid w:val="00144D74"/>
    <w:rsid w:val="0014502E"/>
    <w:rsid w:val="001453DC"/>
    <w:rsid w:val="0014558F"/>
    <w:rsid w:val="00145BB1"/>
    <w:rsid w:val="00145CE8"/>
    <w:rsid w:val="00145E27"/>
    <w:rsid w:val="001465B1"/>
    <w:rsid w:val="001467C7"/>
    <w:rsid w:val="00146BD7"/>
    <w:rsid w:val="00146CA4"/>
    <w:rsid w:val="00147078"/>
    <w:rsid w:val="00147717"/>
    <w:rsid w:val="00147D91"/>
    <w:rsid w:val="0015018C"/>
    <w:rsid w:val="001503C0"/>
    <w:rsid w:val="00150FC9"/>
    <w:rsid w:val="00151176"/>
    <w:rsid w:val="00151343"/>
    <w:rsid w:val="001514D2"/>
    <w:rsid w:val="001518F2"/>
    <w:rsid w:val="00152522"/>
    <w:rsid w:val="00152ACE"/>
    <w:rsid w:val="00152BB2"/>
    <w:rsid w:val="00152C1E"/>
    <w:rsid w:val="00152C7C"/>
    <w:rsid w:val="00153183"/>
    <w:rsid w:val="00153264"/>
    <w:rsid w:val="001534AB"/>
    <w:rsid w:val="00153924"/>
    <w:rsid w:val="00153B87"/>
    <w:rsid w:val="00153BF6"/>
    <w:rsid w:val="00153ED6"/>
    <w:rsid w:val="00154994"/>
    <w:rsid w:val="00154A86"/>
    <w:rsid w:val="00154DAE"/>
    <w:rsid w:val="001551A7"/>
    <w:rsid w:val="001553CE"/>
    <w:rsid w:val="001554CB"/>
    <w:rsid w:val="0015580A"/>
    <w:rsid w:val="00155D92"/>
    <w:rsid w:val="00155FAF"/>
    <w:rsid w:val="001565FD"/>
    <w:rsid w:val="00157578"/>
    <w:rsid w:val="001579FD"/>
    <w:rsid w:val="00157BBD"/>
    <w:rsid w:val="00157C9B"/>
    <w:rsid w:val="001605BA"/>
    <w:rsid w:val="0016078C"/>
    <w:rsid w:val="00160CB1"/>
    <w:rsid w:val="00160CC6"/>
    <w:rsid w:val="00161291"/>
    <w:rsid w:val="001616F3"/>
    <w:rsid w:val="00161E24"/>
    <w:rsid w:val="00161E95"/>
    <w:rsid w:val="00161EE4"/>
    <w:rsid w:val="00162196"/>
    <w:rsid w:val="0016244B"/>
    <w:rsid w:val="001626C1"/>
    <w:rsid w:val="00162DCB"/>
    <w:rsid w:val="001635C8"/>
    <w:rsid w:val="001638BD"/>
    <w:rsid w:val="00163D18"/>
    <w:rsid w:val="001643F6"/>
    <w:rsid w:val="001647BA"/>
    <w:rsid w:val="0016493B"/>
    <w:rsid w:val="00164A16"/>
    <w:rsid w:val="00164AAE"/>
    <w:rsid w:val="00164EA7"/>
    <w:rsid w:val="0016521D"/>
    <w:rsid w:val="00166653"/>
    <w:rsid w:val="0016680A"/>
    <w:rsid w:val="00166A59"/>
    <w:rsid w:val="0016701D"/>
    <w:rsid w:val="00167956"/>
    <w:rsid w:val="00167C57"/>
    <w:rsid w:val="00170206"/>
    <w:rsid w:val="001708E8"/>
    <w:rsid w:val="00170BB1"/>
    <w:rsid w:val="001710CB"/>
    <w:rsid w:val="001714C0"/>
    <w:rsid w:val="00171C0D"/>
    <w:rsid w:val="00172DDB"/>
    <w:rsid w:val="00173C9A"/>
    <w:rsid w:val="00173F69"/>
    <w:rsid w:val="001743B9"/>
    <w:rsid w:val="00174D0D"/>
    <w:rsid w:val="00174F31"/>
    <w:rsid w:val="0017527C"/>
    <w:rsid w:val="001753D6"/>
    <w:rsid w:val="00175791"/>
    <w:rsid w:val="001758BC"/>
    <w:rsid w:val="001759E6"/>
    <w:rsid w:val="00175A62"/>
    <w:rsid w:val="001761BE"/>
    <w:rsid w:val="0017625E"/>
    <w:rsid w:val="00176B70"/>
    <w:rsid w:val="00176D65"/>
    <w:rsid w:val="001774E2"/>
    <w:rsid w:val="001779F1"/>
    <w:rsid w:val="00180405"/>
    <w:rsid w:val="00180635"/>
    <w:rsid w:val="00180C7C"/>
    <w:rsid w:val="00181553"/>
    <w:rsid w:val="00181CF8"/>
    <w:rsid w:val="00181E9E"/>
    <w:rsid w:val="0018249D"/>
    <w:rsid w:val="001826CC"/>
    <w:rsid w:val="00182D36"/>
    <w:rsid w:val="00183806"/>
    <w:rsid w:val="00183863"/>
    <w:rsid w:val="00183C1D"/>
    <w:rsid w:val="00184411"/>
    <w:rsid w:val="00184785"/>
    <w:rsid w:val="00184AC9"/>
    <w:rsid w:val="0018570A"/>
    <w:rsid w:val="00185A87"/>
    <w:rsid w:val="001862A0"/>
    <w:rsid w:val="00186937"/>
    <w:rsid w:val="00186C84"/>
    <w:rsid w:val="00186E29"/>
    <w:rsid w:val="001873FB"/>
    <w:rsid w:val="001878EC"/>
    <w:rsid w:val="00187E49"/>
    <w:rsid w:val="00187EC1"/>
    <w:rsid w:val="00190259"/>
    <w:rsid w:val="0019027B"/>
    <w:rsid w:val="001902C1"/>
    <w:rsid w:val="001905C7"/>
    <w:rsid w:val="00190AF1"/>
    <w:rsid w:val="00190AFC"/>
    <w:rsid w:val="00190C2F"/>
    <w:rsid w:val="00190DBA"/>
    <w:rsid w:val="0019126D"/>
    <w:rsid w:val="001915F2"/>
    <w:rsid w:val="0019171E"/>
    <w:rsid w:val="00191A55"/>
    <w:rsid w:val="00191E86"/>
    <w:rsid w:val="00191F1D"/>
    <w:rsid w:val="001929AF"/>
    <w:rsid w:val="00192C4D"/>
    <w:rsid w:val="00193150"/>
    <w:rsid w:val="00193379"/>
    <w:rsid w:val="00193F62"/>
    <w:rsid w:val="00194737"/>
    <w:rsid w:val="0019495D"/>
    <w:rsid w:val="00194B92"/>
    <w:rsid w:val="00195941"/>
    <w:rsid w:val="00195CAA"/>
    <w:rsid w:val="00195F11"/>
    <w:rsid w:val="0019606E"/>
    <w:rsid w:val="00196232"/>
    <w:rsid w:val="001964B7"/>
    <w:rsid w:val="001965BC"/>
    <w:rsid w:val="00196691"/>
    <w:rsid w:val="00196E84"/>
    <w:rsid w:val="00197778"/>
    <w:rsid w:val="001A00F8"/>
    <w:rsid w:val="001A01D3"/>
    <w:rsid w:val="001A03DF"/>
    <w:rsid w:val="001A083B"/>
    <w:rsid w:val="001A09D5"/>
    <w:rsid w:val="001A0C53"/>
    <w:rsid w:val="001A0DD0"/>
    <w:rsid w:val="001A1804"/>
    <w:rsid w:val="001A21D2"/>
    <w:rsid w:val="001A2276"/>
    <w:rsid w:val="001A2687"/>
    <w:rsid w:val="001A2D35"/>
    <w:rsid w:val="001A3676"/>
    <w:rsid w:val="001A36D8"/>
    <w:rsid w:val="001A3803"/>
    <w:rsid w:val="001A407E"/>
    <w:rsid w:val="001A41C6"/>
    <w:rsid w:val="001A4936"/>
    <w:rsid w:val="001A5614"/>
    <w:rsid w:val="001A5910"/>
    <w:rsid w:val="001A6086"/>
    <w:rsid w:val="001A60B5"/>
    <w:rsid w:val="001A6B9A"/>
    <w:rsid w:val="001A6BFD"/>
    <w:rsid w:val="001A6E16"/>
    <w:rsid w:val="001A7A6A"/>
    <w:rsid w:val="001A7AE1"/>
    <w:rsid w:val="001A7D7B"/>
    <w:rsid w:val="001A7DBF"/>
    <w:rsid w:val="001B07F0"/>
    <w:rsid w:val="001B0841"/>
    <w:rsid w:val="001B0BC6"/>
    <w:rsid w:val="001B132E"/>
    <w:rsid w:val="001B1461"/>
    <w:rsid w:val="001B1743"/>
    <w:rsid w:val="001B1AD7"/>
    <w:rsid w:val="001B1C4B"/>
    <w:rsid w:val="001B303C"/>
    <w:rsid w:val="001B3045"/>
    <w:rsid w:val="001B3377"/>
    <w:rsid w:val="001B341E"/>
    <w:rsid w:val="001B3639"/>
    <w:rsid w:val="001B3876"/>
    <w:rsid w:val="001B3A4D"/>
    <w:rsid w:val="001B4791"/>
    <w:rsid w:val="001B4827"/>
    <w:rsid w:val="001B4878"/>
    <w:rsid w:val="001B49A0"/>
    <w:rsid w:val="001B53B1"/>
    <w:rsid w:val="001B642D"/>
    <w:rsid w:val="001B64C3"/>
    <w:rsid w:val="001B66C0"/>
    <w:rsid w:val="001B6766"/>
    <w:rsid w:val="001B6FED"/>
    <w:rsid w:val="001B754E"/>
    <w:rsid w:val="001B78F8"/>
    <w:rsid w:val="001C0C49"/>
    <w:rsid w:val="001C0CD7"/>
    <w:rsid w:val="001C0D1D"/>
    <w:rsid w:val="001C10B6"/>
    <w:rsid w:val="001C19F3"/>
    <w:rsid w:val="001C1D1D"/>
    <w:rsid w:val="001C1DA3"/>
    <w:rsid w:val="001C1FA1"/>
    <w:rsid w:val="001C246A"/>
    <w:rsid w:val="001C2CCC"/>
    <w:rsid w:val="001C4481"/>
    <w:rsid w:val="001C4ADA"/>
    <w:rsid w:val="001C52B4"/>
    <w:rsid w:val="001C582A"/>
    <w:rsid w:val="001C591D"/>
    <w:rsid w:val="001C66B1"/>
    <w:rsid w:val="001C6D3B"/>
    <w:rsid w:val="001C7237"/>
    <w:rsid w:val="001C7878"/>
    <w:rsid w:val="001D07BD"/>
    <w:rsid w:val="001D1000"/>
    <w:rsid w:val="001D104C"/>
    <w:rsid w:val="001D16CB"/>
    <w:rsid w:val="001D16EC"/>
    <w:rsid w:val="001D1C1A"/>
    <w:rsid w:val="001D20C6"/>
    <w:rsid w:val="001D3CEB"/>
    <w:rsid w:val="001D48D3"/>
    <w:rsid w:val="001D4EB2"/>
    <w:rsid w:val="001D583C"/>
    <w:rsid w:val="001D63CD"/>
    <w:rsid w:val="001D6A45"/>
    <w:rsid w:val="001D6EC9"/>
    <w:rsid w:val="001D6F73"/>
    <w:rsid w:val="001D7625"/>
    <w:rsid w:val="001D782B"/>
    <w:rsid w:val="001D7AB8"/>
    <w:rsid w:val="001D7DDE"/>
    <w:rsid w:val="001D7F6F"/>
    <w:rsid w:val="001E0DD3"/>
    <w:rsid w:val="001E2112"/>
    <w:rsid w:val="001E3379"/>
    <w:rsid w:val="001E36E9"/>
    <w:rsid w:val="001E3E9D"/>
    <w:rsid w:val="001E4146"/>
    <w:rsid w:val="001E4C32"/>
    <w:rsid w:val="001E4C7A"/>
    <w:rsid w:val="001E545F"/>
    <w:rsid w:val="001E6028"/>
    <w:rsid w:val="001E64C7"/>
    <w:rsid w:val="001E65B2"/>
    <w:rsid w:val="001E6EBB"/>
    <w:rsid w:val="001F06D4"/>
    <w:rsid w:val="001F1184"/>
    <w:rsid w:val="001F121F"/>
    <w:rsid w:val="001F171B"/>
    <w:rsid w:val="001F1929"/>
    <w:rsid w:val="001F22F4"/>
    <w:rsid w:val="001F23E7"/>
    <w:rsid w:val="001F2F91"/>
    <w:rsid w:val="001F342F"/>
    <w:rsid w:val="001F3633"/>
    <w:rsid w:val="001F38FB"/>
    <w:rsid w:val="001F447D"/>
    <w:rsid w:val="001F4C47"/>
    <w:rsid w:val="001F4CDC"/>
    <w:rsid w:val="001F5039"/>
    <w:rsid w:val="001F5AAD"/>
    <w:rsid w:val="001F77E0"/>
    <w:rsid w:val="001F7E00"/>
    <w:rsid w:val="00200114"/>
    <w:rsid w:val="00200192"/>
    <w:rsid w:val="0020087F"/>
    <w:rsid w:val="00200D5F"/>
    <w:rsid w:val="00200ED1"/>
    <w:rsid w:val="0020169A"/>
    <w:rsid w:val="00201739"/>
    <w:rsid w:val="002017BC"/>
    <w:rsid w:val="002029AA"/>
    <w:rsid w:val="0020316C"/>
    <w:rsid w:val="0020340E"/>
    <w:rsid w:val="00203F5B"/>
    <w:rsid w:val="002046BF"/>
    <w:rsid w:val="0020669A"/>
    <w:rsid w:val="00206896"/>
    <w:rsid w:val="00206D08"/>
    <w:rsid w:val="00206DCC"/>
    <w:rsid w:val="00207477"/>
    <w:rsid w:val="0020762A"/>
    <w:rsid w:val="00207D55"/>
    <w:rsid w:val="00207FC8"/>
    <w:rsid w:val="002108FA"/>
    <w:rsid w:val="00210E95"/>
    <w:rsid w:val="0021154F"/>
    <w:rsid w:val="0021185D"/>
    <w:rsid w:val="002119E1"/>
    <w:rsid w:val="00211BB8"/>
    <w:rsid w:val="002121AA"/>
    <w:rsid w:val="00212689"/>
    <w:rsid w:val="00212B3D"/>
    <w:rsid w:val="00212B76"/>
    <w:rsid w:val="00213457"/>
    <w:rsid w:val="002138EE"/>
    <w:rsid w:val="00213AA5"/>
    <w:rsid w:val="00213B37"/>
    <w:rsid w:val="00213CCC"/>
    <w:rsid w:val="00214059"/>
    <w:rsid w:val="00214438"/>
    <w:rsid w:val="00215247"/>
    <w:rsid w:val="002152F2"/>
    <w:rsid w:val="00215680"/>
    <w:rsid w:val="00215684"/>
    <w:rsid w:val="00217054"/>
    <w:rsid w:val="0021722A"/>
    <w:rsid w:val="002177CE"/>
    <w:rsid w:val="00217B15"/>
    <w:rsid w:val="0022034B"/>
    <w:rsid w:val="00220746"/>
    <w:rsid w:val="00220948"/>
    <w:rsid w:val="002212BC"/>
    <w:rsid w:val="00221667"/>
    <w:rsid w:val="00221942"/>
    <w:rsid w:val="00221AC7"/>
    <w:rsid w:val="00221CC9"/>
    <w:rsid w:val="00222DF8"/>
    <w:rsid w:val="00222FAA"/>
    <w:rsid w:val="0022374F"/>
    <w:rsid w:val="0022467D"/>
    <w:rsid w:val="00224F92"/>
    <w:rsid w:val="00225198"/>
    <w:rsid w:val="002254A7"/>
    <w:rsid w:val="00225D7A"/>
    <w:rsid w:val="00226008"/>
    <w:rsid w:val="00226922"/>
    <w:rsid w:val="00226A68"/>
    <w:rsid w:val="0022719F"/>
    <w:rsid w:val="002275C0"/>
    <w:rsid w:val="00227B65"/>
    <w:rsid w:val="00230125"/>
    <w:rsid w:val="00230BD9"/>
    <w:rsid w:val="00230EB3"/>
    <w:rsid w:val="00230F07"/>
    <w:rsid w:val="00232BB2"/>
    <w:rsid w:val="002331B4"/>
    <w:rsid w:val="00233699"/>
    <w:rsid w:val="00233BF0"/>
    <w:rsid w:val="00233E77"/>
    <w:rsid w:val="00233F93"/>
    <w:rsid w:val="00234AF8"/>
    <w:rsid w:val="00234DFE"/>
    <w:rsid w:val="002358C5"/>
    <w:rsid w:val="0023590B"/>
    <w:rsid w:val="0023602D"/>
    <w:rsid w:val="0023684D"/>
    <w:rsid w:val="00236AD9"/>
    <w:rsid w:val="00236ADF"/>
    <w:rsid w:val="00236D79"/>
    <w:rsid w:val="00236ED2"/>
    <w:rsid w:val="0023753E"/>
    <w:rsid w:val="00237FB4"/>
    <w:rsid w:val="0024088A"/>
    <w:rsid w:val="00240B41"/>
    <w:rsid w:val="00241755"/>
    <w:rsid w:val="002420C9"/>
    <w:rsid w:val="002422CF"/>
    <w:rsid w:val="0024274F"/>
    <w:rsid w:val="00243022"/>
    <w:rsid w:val="00243056"/>
    <w:rsid w:val="00243636"/>
    <w:rsid w:val="00243AED"/>
    <w:rsid w:val="00243FD5"/>
    <w:rsid w:val="002444AA"/>
    <w:rsid w:val="002446B6"/>
    <w:rsid w:val="00244B54"/>
    <w:rsid w:val="002454A9"/>
    <w:rsid w:val="0024569C"/>
    <w:rsid w:val="00245B02"/>
    <w:rsid w:val="00245CE5"/>
    <w:rsid w:val="00246ADF"/>
    <w:rsid w:val="0024702A"/>
    <w:rsid w:val="002474A1"/>
    <w:rsid w:val="00247E79"/>
    <w:rsid w:val="00251233"/>
    <w:rsid w:val="0025160F"/>
    <w:rsid w:val="002516AE"/>
    <w:rsid w:val="00251D65"/>
    <w:rsid w:val="00252078"/>
    <w:rsid w:val="0025265A"/>
    <w:rsid w:val="002528F0"/>
    <w:rsid w:val="00252A37"/>
    <w:rsid w:val="00252C34"/>
    <w:rsid w:val="002536C3"/>
    <w:rsid w:val="00253DF8"/>
    <w:rsid w:val="002541B6"/>
    <w:rsid w:val="0025468A"/>
    <w:rsid w:val="00254819"/>
    <w:rsid w:val="00254F1B"/>
    <w:rsid w:val="00255055"/>
    <w:rsid w:val="00255571"/>
    <w:rsid w:val="00255C8A"/>
    <w:rsid w:val="00255E90"/>
    <w:rsid w:val="002566B8"/>
    <w:rsid w:val="002566EB"/>
    <w:rsid w:val="00257450"/>
    <w:rsid w:val="002575BA"/>
    <w:rsid w:val="00257944"/>
    <w:rsid w:val="00260124"/>
    <w:rsid w:val="00260C32"/>
    <w:rsid w:val="002618AC"/>
    <w:rsid w:val="00261EE0"/>
    <w:rsid w:val="0026231B"/>
    <w:rsid w:val="00262675"/>
    <w:rsid w:val="002626B4"/>
    <w:rsid w:val="00262CFB"/>
    <w:rsid w:val="00263825"/>
    <w:rsid w:val="00263C64"/>
    <w:rsid w:val="00264D8E"/>
    <w:rsid w:val="00264E84"/>
    <w:rsid w:val="002652E6"/>
    <w:rsid w:val="00265662"/>
    <w:rsid w:val="002656DB"/>
    <w:rsid w:val="00265734"/>
    <w:rsid w:val="00265C24"/>
    <w:rsid w:val="00266495"/>
    <w:rsid w:val="002667BC"/>
    <w:rsid w:val="00266AFE"/>
    <w:rsid w:val="00266FB7"/>
    <w:rsid w:val="002675D9"/>
    <w:rsid w:val="002701EC"/>
    <w:rsid w:val="00270276"/>
    <w:rsid w:val="00270FCA"/>
    <w:rsid w:val="00271A8E"/>
    <w:rsid w:val="002721F9"/>
    <w:rsid w:val="00272269"/>
    <w:rsid w:val="002724FC"/>
    <w:rsid w:val="002727B4"/>
    <w:rsid w:val="00272E33"/>
    <w:rsid w:val="00272E4E"/>
    <w:rsid w:val="002732EA"/>
    <w:rsid w:val="00273623"/>
    <w:rsid w:val="00273CB3"/>
    <w:rsid w:val="00273DB0"/>
    <w:rsid w:val="00273E18"/>
    <w:rsid w:val="00274391"/>
    <w:rsid w:val="002744A6"/>
    <w:rsid w:val="002746A4"/>
    <w:rsid w:val="00275699"/>
    <w:rsid w:val="002765BD"/>
    <w:rsid w:val="00277351"/>
    <w:rsid w:val="0027735A"/>
    <w:rsid w:val="002779D1"/>
    <w:rsid w:val="00277E37"/>
    <w:rsid w:val="00280B1D"/>
    <w:rsid w:val="0028108E"/>
    <w:rsid w:val="002815D5"/>
    <w:rsid w:val="00281A71"/>
    <w:rsid w:val="00281BBC"/>
    <w:rsid w:val="00281C96"/>
    <w:rsid w:val="002821F5"/>
    <w:rsid w:val="002828C4"/>
    <w:rsid w:val="00282A47"/>
    <w:rsid w:val="00282AB5"/>
    <w:rsid w:val="00283147"/>
    <w:rsid w:val="002836AB"/>
    <w:rsid w:val="00283E38"/>
    <w:rsid w:val="002840A4"/>
    <w:rsid w:val="00285E78"/>
    <w:rsid w:val="00287295"/>
    <w:rsid w:val="0028780A"/>
    <w:rsid w:val="00287875"/>
    <w:rsid w:val="00287F4F"/>
    <w:rsid w:val="002907FD"/>
    <w:rsid w:val="00290C2A"/>
    <w:rsid w:val="00290F10"/>
    <w:rsid w:val="0029132A"/>
    <w:rsid w:val="002919F8"/>
    <w:rsid w:val="00291A33"/>
    <w:rsid w:val="002920C2"/>
    <w:rsid w:val="002923A6"/>
    <w:rsid w:val="00292A70"/>
    <w:rsid w:val="002934F1"/>
    <w:rsid w:val="0029378B"/>
    <w:rsid w:val="0029424E"/>
    <w:rsid w:val="00294D96"/>
    <w:rsid w:val="00294E00"/>
    <w:rsid w:val="002950E2"/>
    <w:rsid w:val="0029579B"/>
    <w:rsid w:val="002957A1"/>
    <w:rsid w:val="00296210"/>
    <w:rsid w:val="002968F1"/>
    <w:rsid w:val="002971F9"/>
    <w:rsid w:val="00297E7C"/>
    <w:rsid w:val="002A02AD"/>
    <w:rsid w:val="002A03AB"/>
    <w:rsid w:val="002A0661"/>
    <w:rsid w:val="002A0B79"/>
    <w:rsid w:val="002A0EB2"/>
    <w:rsid w:val="002A0EDC"/>
    <w:rsid w:val="002A1BA5"/>
    <w:rsid w:val="002A232C"/>
    <w:rsid w:val="002A27DF"/>
    <w:rsid w:val="002A2BC8"/>
    <w:rsid w:val="002A34E1"/>
    <w:rsid w:val="002A3991"/>
    <w:rsid w:val="002A3E2B"/>
    <w:rsid w:val="002A41D0"/>
    <w:rsid w:val="002A49C3"/>
    <w:rsid w:val="002A4ECF"/>
    <w:rsid w:val="002A4FE9"/>
    <w:rsid w:val="002A51BA"/>
    <w:rsid w:val="002A5299"/>
    <w:rsid w:val="002A5981"/>
    <w:rsid w:val="002A5A12"/>
    <w:rsid w:val="002A5EA4"/>
    <w:rsid w:val="002A6091"/>
    <w:rsid w:val="002A687B"/>
    <w:rsid w:val="002A6E62"/>
    <w:rsid w:val="002A7716"/>
    <w:rsid w:val="002A7D0B"/>
    <w:rsid w:val="002B0127"/>
    <w:rsid w:val="002B0482"/>
    <w:rsid w:val="002B057B"/>
    <w:rsid w:val="002B1C73"/>
    <w:rsid w:val="002B210F"/>
    <w:rsid w:val="002B239C"/>
    <w:rsid w:val="002B2AF1"/>
    <w:rsid w:val="002B2B2A"/>
    <w:rsid w:val="002B3718"/>
    <w:rsid w:val="002B3788"/>
    <w:rsid w:val="002B3B43"/>
    <w:rsid w:val="002B3DF8"/>
    <w:rsid w:val="002B4396"/>
    <w:rsid w:val="002B48E1"/>
    <w:rsid w:val="002B501B"/>
    <w:rsid w:val="002B56BE"/>
    <w:rsid w:val="002B56F4"/>
    <w:rsid w:val="002B5FEB"/>
    <w:rsid w:val="002B64D6"/>
    <w:rsid w:val="002B684D"/>
    <w:rsid w:val="002B6B2B"/>
    <w:rsid w:val="002B6BD3"/>
    <w:rsid w:val="002B78C0"/>
    <w:rsid w:val="002B7D6D"/>
    <w:rsid w:val="002B7E9B"/>
    <w:rsid w:val="002C066A"/>
    <w:rsid w:val="002C0C84"/>
    <w:rsid w:val="002C14FD"/>
    <w:rsid w:val="002C16C8"/>
    <w:rsid w:val="002C1CD6"/>
    <w:rsid w:val="002C2001"/>
    <w:rsid w:val="002C2795"/>
    <w:rsid w:val="002C2D81"/>
    <w:rsid w:val="002C4D2E"/>
    <w:rsid w:val="002C5AC8"/>
    <w:rsid w:val="002C5BD4"/>
    <w:rsid w:val="002C5D41"/>
    <w:rsid w:val="002C6591"/>
    <w:rsid w:val="002C6936"/>
    <w:rsid w:val="002C6FD5"/>
    <w:rsid w:val="002C718A"/>
    <w:rsid w:val="002C7484"/>
    <w:rsid w:val="002C760E"/>
    <w:rsid w:val="002C7B6B"/>
    <w:rsid w:val="002C7C1F"/>
    <w:rsid w:val="002D01F5"/>
    <w:rsid w:val="002D0249"/>
    <w:rsid w:val="002D062F"/>
    <w:rsid w:val="002D0ED1"/>
    <w:rsid w:val="002D0F9E"/>
    <w:rsid w:val="002D0FC8"/>
    <w:rsid w:val="002D152D"/>
    <w:rsid w:val="002D1744"/>
    <w:rsid w:val="002D1833"/>
    <w:rsid w:val="002D2302"/>
    <w:rsid w:val="002D2692"/>
    <w:rsid w:val="002D2F20"/>
    <w:rsid w:val="002D379F"/>
    <w:rsid w:val="002D38E7"/>
    <w:rsid w:val="002D3961"/>
    <w:rsid w:val="002D3B0C"/>
    <w:rsid w:val="002D3DEA"/>
    <w:rsid w:val="002D5257"/>
    <w:rsid w:val="002D5478"/>
    <w:rsid w:val="002D5739"/>
    <w:rsid w:val="002D59F1"/>
    <w:rsid w:val="002D5C94"/>
    <w:rsid w:val="002D5E28"/>
    <w:rsid w:val="002D65D1"/>
    <w:rsid w:val="002D6B90"/>
    <w:rsid w:val="002D6C33"/>
    <w:rsid w:val="002E0017"/>
    <w:rsid w:val="002E0046"/>
    <w:rsid w:val="002E06E8"/>
    <w:rsid w:val="002E1B6D"/>
    <w:rsid w:val="002E1FD5"/>
    <w:rsid w:val="002E268C"/>
    <w:rsid w:val="002E296D"/>
    <w:rsid w:val="002E2F33"/>
    <w:rsid w:val="002E2FF9"/>
    <w:rsid w:val="002E3EBF"/>
    <w:rsid w:val="002E3F48"/>
    <w:rsid w:val="002E4032"/>
    <w:rsid w:val="002E4864"/>
    <w:rsid w:val="002E4934"/>
    <w:rsid w:val="002E4AD8"/>
    <w:rsid w:val="002E54B6"/>
    <w:rsid w:val="002E55F0"/>
    <w:rsid w:val="002E57F3"/>
    <w:rsid w:val="002E5ACC"/>
    <w:rsid w:val="002E5F91"/>
    <w:rsid w:val="002E644E"/>
    <w:rsid w:val="002E6543"/>
    <w:rsid w:val="002F0175"/>
    <w:rsid w:val="002F0DC5"/>
    <w:rsid w:val="002F1234"/>
    <w:rsid w:val="002F1D43"/>
    <w:rsid w:val="002F2017"/>
    <w:rsid w:val="002F2067"/>
    <w:rsid w:val="002F290E"/>
    <w:rsid w:val="002F298E"/>
    <w:rsid w:val="002F38F3"/>
    <w:rsid w:val="002F3D00"/>
    <w:rsid w:val="002F40CE"/>
    <w:rsid w:val="002F4134"/>
    <w:rsid w:val="002F552F"/>
    <w:rsid w:val="002F55A2"/>
    <w:rsid w:val="002F561C"/>
    <w:rsid w:val="002F6050"/>
    <w:rsid w:val="002F62B7"/>
    <w:rsid w:val="002F6368"/>
    <w:rsid w:val="002F6463"/>
    <w:rsid w:val="002F66CA"/>
    <w:rsid w:val="002F6F3E"/>
    <w:rsid w:val="002F73E3"/>
    <w:rsid w:val="002F7990"/>
    <w:rsid w:val="0030007B"/>
    <w:rsid w:val="003000DE"/>
    <w:rsid w:val="003005BB"/>
    <w:rsid w:val="00301989"/>
    <w:rsid w:val="003022B3"/>
    <w:rsid w:val="00302715"/>
    <w:rsid w:val="0030287B"/>
    <w:rsid w:val="00302E3F"/>
    <w:rsid w:val="00303375"/>
    <w:rsid w:val="003035C5"/>
    <w:rsid w:val="00303643"/>
    <w:rsid w:val="00303A09"/>
    <w:rsid w:val="00303ACE"/>
    <w:rsid w:val="00303C49"/>
    <w:rsid w:val="00303CC4"/>
    <w:rsid w:val="00304691"/>
    <w:rsid w:val="00304B58"/>
    <w:rsid w:val="00304DF0"/>
    <w:rsid w:val="00305540"/>
    <w:rsid w:val="003056CB"/>
    <w:rsid w:val="00305AA5"/>
    <w:rsid w:val="003066E6"/>
    <w:rsid w:val="00306DA9"/>
    <w:rsid w:val="00307249"/>
    <w:rsid w:val="003077EE"/>
    <w:rsid w:val="003104A1"/>
    <w:rsid w:val="003104F5"/>
    <w:rsid w:val="00310733"/>
    <w:rsid w:val="0031073A"/>
    <w:rsid w:val="00310A4C"/>
    <w:rsid w:val="0031111B"/>
    <w:rsid w:val="003114A8"/>
    <w:rsid w:val="00311B54"/>
    <w:rsid w:val="00311ED4"/>
    <w:rsid w:val="00312597"/>
    <w:rsid w:val="00312878"/>
    <w:rsid w:val="00313227"/>
    <w:rsid w:val="0031372C"/>
    <w:rsid w:val="00313970"/>
    <w:rsid w:val="00313D6F"/>
    <w:rsid w:val="0031429B"/>
    <w:rsid w:val="00314842"/>
    <w:rsid w:val="00314BE5"/>
    <w:rsid w:val="00314E0D"/>
    <w:rsid w:val="00314EB9"/>
    <w:rsid w:val="00315103"/>
    <w:rsid w:val="003156CB"/>
    <w:rsid w:val="00315AE2"/>
    <w:rsid w:val="00315B51"/>
    <w:rsid w:val="00316651"/>
    <w:rsid w:val="0031693E"/>
    <w:rsid w:val="00316E25"/>
    <w:rsid w:val="00317D7B"/>
    <w:rsid w:val="00317E49"/>
    <w:rsid w:val="00317F50"/>
    <w:rsid w:val="0032025F"/>
    <w:rsid w:val="00320982"/>
    <w:rsid w:val="003213F7"/>
    <w:rsid w:val="003214D3"/>
    <w:rsid w:val="00321793"/>
    <w:rsid w:val="00321D48"/>
    <w:rsid w:val="00321E4B"/>
    <w:rsid w:val="003222F8"/>
    <w:rsid w:val="003226B4"/>
    <w:rsid w:val="003237E2"/>
    <w:rsid w:val="00323840"/>
    <w:rsid w:val="003243E8"/>
    <w:rsid w:val="00324B5A"/>
    <w:rsid w:val="00324C3B"/>
    <w:rsid w:val="00325825"/>
    <w:rsid w:val="003258CE"/>
    <w:rsid w:val="00325939"/>
    <w:rsid w:val="00325E7E"/>
    <w:rsid w:val="00326180"/>
    <w:rsid w:val="00326AE0"/>
    <w:rsid w:val="0032701E"/>
    <w:rsid w:val="00327306"/>
    <w:rsid w:val="0032769E"/>
    <w:rsid w:val="0033024F"/>
    <w:rsid w:val="00330522"/>
    <w:rsid w:val="00330791"/>
    <w:rsid w:val="00330BFA"/>
    <w:rsid w:val="00330CA2"/>
    <w:rsid w:val="00330DBD"/>
    <w:rsid w:val="00330FFE"/>
    <w:rsid w:val="003315BA"/>
    <w:rsid w:val="003316C2"/>
    <w:rsid w:val="00331B09"/>
    <w:rsid w:val="00331B3B"/>
    <w:rsid w:val="00331EFA"/>
    <w:rsid w:val="00331FB7"/>
    <w:rsid w:val="003320FA"/>
    <w:rsid w:val="00332738"/>
    <w:rsid w:val="0033283E"/>
    <w:rsid w:val="00332A6A"/>
    <w:rsid w:val="00332B2C"/>
    <w:rsid w:val="00332B49"/>
    <w:rsid w:val="00333190"/>
    <w:rsid w:val="003335AF"/>
    <w:rsid w:val="003337E5"/>
    <w:rsid w:val="00333A56"/>
    <w:rsid w:val="00333A6B"/>
    <w:rsid w:val="00333B90"/>
    <w:rsid w:val="0033441D"/>
    <w:rsid w:val="00334638"/>
    <w:rsid w:val="003346F5"/>
    <w:rsid w:val="00334748"/>
    <w:rsid w:val="00334B1B"/>
    <w:rsid w:val="00334B43"/>
    <w:rsid w:val="00334B9D"/>
    <w:rsid w:val="0033509F"/>
    <w:rsid w:val="00335228"/>
    <w:rsid w:val="003357B1"/>
    <w:rsid w:val="00335B3B"/>
    <w:rsid w:val="00335D2B"/>
    <w:rsid w:val="003368F1"/>
    <w:rsid w:val="0033718C"/>
    <w:rsid w:val="00337730"/>
    <w:rsid w:val="003378F3"/>
    <w:rsid w:val="00340013"/>
    <w:rsid w:val="00340095"/>
    <w:rsid w:val="0034062D"/>
    <w:rsid w:val="003406F2"/>
    <w:rsid w:val="0034095A"/>
    <w:rsid w:val="0034281A"/>
    <w:rsid w:val="00342F16"/>
    <w:rsid w:val="00343152"/>
    <w:rsid w:val="00343539"/>
    <w:rsid w:val="00343570"/>
    <w:rsid w:val="0034359D"/>
    <w:rsid w:val="00343A1F"/>
    <w:rsid w:val="00343FDE"/>
    <w:rsid w:val="003440DB"/>
    <w:rsid w:val="003445C0"/>
    <w:rsid w:val="003447AD"/>
    <w:rsid w:val="00344AFC"/>
    <w:rsid w:val="0034537C"/>
    <w:rsid w:val="0034726A"/>
    <w:rsid w:val="003474B6"/>
    <w:rsid w:val="00350201"/>
    <w:rsid w:val="00350755"/>
    <w:rsid w:val="003508EB"/>
    <w:rsid w:val="00350B80"/>
    <w:rsid w:val="00350E3B"/>
    <w:rsid w:val="003516B7"/>
    <w:rsid w:val="003519E1"/>
    <w:rsid w:val="00351B3B"/>
    <w:rsid w:val="00352699"/>
    <w:rsid w:val="00352D42"/>
    <w:rsid w:val="003531E6"/>
    <w:rsid w:val="00353C34"/>
    <w:rsid w:val="00354061"/>
    <w:rsid w:val="003540D1"/>
    <w:rsid w:val="003540F5"/>
    <w:rsid w:val="0035426B"/>
    <w:rsid w:val="00354285"/>
    <w:rsid w:val="0035451D"/>
    <w:rsid w:val="00354B6F"/>
    <w:rsid w:val="00354B76"/>
    <w:rsid w:val="003551F5"/>
    <w:rsid w:val="003557BF"/>
    <w:rsid w:val="00355985"/>
    <w:rsid w:val="0035623A"/>
    <w:rsid w:val="0035628D"/>
    <w:rsid w:val="003563DD"/>
    <w:rsid w:val="00356DD7"/>
    <w:rsid w:val="00357E63"/>
    <w:rsid w:val="00360610"/>
    <w:rsid w:val="00360CE5"/>
    <w:rsid w:val="00361329"/>
    <w:rsid w:val="00361A66"/>
    <w:rsid w:val="00361AF2"/>
    <w:rsid w:val="00361BED"/>
    <w:rsid w:val="00361E40"/>
    <w:rsid w:val="00361EEA"/>
    <w:rsid w:val="00361FB1"/>
    <w:rsid w:val="0036214E"/>
    <w:rsid w:val="003621EC"/>
    <w:rsid w:val="003625C8"/>
    <w:rsid w:val="00362726"/>
    <w:rsid w:val="00363537"/>
    <w:rsid w:val="003648C2"/>
    <w:rsid w:val="00364F96"/>
    <w:rsid w:val="003654B1"/>
    <w:rsid w:val="00366169"/>
    <w:rsid w:val="0036649B"/>
    <w:rsid w:val="00366997"/>
    <w:rsid w:val="00366C76"/>
    <w:rsid w:val="0036745D"/>
    <w:rsid w:val="003676FB"/>
    <w:rsid w:val="00367B0F"/>
    <w:rsid w:val="00367C32"/>
    <w:rsid w:val="00367EEF"/>
    <w:rsid w:val="00367F8A"/>
    <w:rsid w:val="003702C8"/>
    <w:rsid w:val="0037129F"/>
    <w:rsid w:val="003715D4"/>
    <w:rsid w:val="00371909"/>
    <w:rsid w:val="003726E3"/>
    <w:rsid w:val="003728B5"/>
    <w:rsid w:val="00372F23"/>
    <w:rsid w:val="003732F1"/>
    <w:rsid w:val="0037396E"/>
    <w:rsid w:val="00373CC0"/>
    <w:rsid w:val="00374037"/>
    <w:rsid w:val="00374070"/>
    <w:rsid w:val="003742D1"/>
    <w:rsid w:val="00374552"/>
    <w:rsid w:val="00374D4A"/>
    <w:rsid w:val="003750FC"/>
    <w:rsid w:val="00375874"/>
    <w:rsid w:val="00375CC3"/>
    <w:rsid w:val="00375D10"/>
    <w:rsid w:val="00376C9C"/>
    <w:rsid w:val="00376EFA"/>
    <w:rsid w:val="003772E9"/>
    <w:rsid w:val="003778F1"/>
    <w:rsid w:val="00377A8F"/>
    <w:rsid w:val="00377FF8"/>
    <w:rsid w:val="0038176D"/>
    <w:rsid w:val="00381F28"/>
    <w:rsid w:val="00382284"/>
    <w:rsid w:val="00382B0B"/>
    <w:rsid w:val="00382BDD"/>
    <w:rsid w:val="00382DB5"/>
    <w:rsid w:val="00382FA8"/>
    <w:rsid w:val="00383114"/>
    <w:rsid w:val="00383C53"/>
    <w:rsid w:val="00384147"/>
    <w:rsid w:val="00384168"/>
    <w:rsid w:val="00384394"/>
    <w:rsid w:val="003843CD"/>
    <w:rsid w:val="00385590"/>
    <w:rsid w:val="00385A15"/>
    <w:rsid w:val="00386112"/>
    <w:rsid w:val="0038670C"/>
    <w:rsid w:val="00387284"/>
    <w:rsid w:val="00387636"/>
    <w:rsid w:val="003901AE"/>
    <w:rsid w:val="0039024A"/>
    <w:rsid w:val="0039038C"/>
    <w:rsid w:val="00390467"/>
    <w:rsid w:val="003906DE"/>
    <w:rsid w:val="00390723"/>
    <w:rsid w:val="0039090F"/>
    <w:rsid w:val="0039099D"/>
    <w:rsid w:val="003916A0"/>
    <w:rsid w:val="00391B2D"/>
    <w:rsid w:val="00391DE1"/>
    <w:rsid w:val="003923F4"/>
    <w:rsid w:val="0039278E"/>
    <w:rsid w:val="00392874"/>
    <w:rsid w:val="00392BD9"/>
    <w:rsid w:val="00392D54"/>
    <w:rsid w:val="0039373B"/>
    <w:rsid w:val="00393827"/>
    <w:rsid w:val="00393BA4"/>
    <w:rsid w:val="00393DB5"/>
    <w:rsid w:val="00394173"/>
    <w:rsid w:val="00395023"/>
    <w:rsid w:val="003958AE"/>
    <w:rsid w:val="00395D25"/>
    <w:rsid w:val="00396159"/>
    <w:rsid w:val="003962B8"/>
    <w:rsid w:val="00396A51"/>
    <w:rsid w:val="00396DAA"/>
    <w:rsid w:val="003973C7"/>
    <w:rsid w:val="00397D37"/>
    <w:rsid w:val="003A039F"/>
    <w:rsid w:val="003A0404"/>
    <w:rsid w:val="003A0959"/>
    <w:rsid w:val="003A1935"/>
    <w:rsid w:val="003A1AB6"/>
    <w:rsid w:val="003A1D2A"/>
    <w:rsid w:val="003A20AB"/>
    <w:rsid w:val="003A20F0"/>
    <w:rsid w:val="003A2BF0"/>
    <w:rsid w:val="003A2E53"/>
    <w:rsid w:val="003A32BA"/>
    <w:rsid w:val="003A3452"/>
    <w:rsid w:val="003A3606"/>
    <w:rsid w:val="003A384B"/>
    <w:rsid w:val="003A392D"/>
    <w:rsid w:val="003A42B2"/>
    <w:rsid w:val="003A448B"/>
    <w:rsid w:val="003A49E9"/>
    <w:rsid w:val="003A5386"/>
    <w:rsid w:val="003A548E"/>
    <w:rsid w:val="003A6510"/>
    <w:rsid w:val="003A6AFF"/>
    <w:rsid w:val="003A76E3"/>
    <w:rsid w:val="003A7A53"/>
    <w:rsid w:val="003A7E2D"/>
    <w:rsid w:val="003B0294"/>
    <w:rsid w:val="003B0AE3"/>
    <w:rsid w:val="003B0E47"/>
    <w:rsid w:val="003B0EDC"/>
    <w:rsid w:val="003B0EE0"/>
    <w:rsid w:val="003B143B"/>
    <w:rsid w:val="003B148F"/>
    <w:rsid w:val="003B1B5C"/>
    <w:rsid w:val="003B2513"/>
    <w:rsid w:val="003B26F6"/>
    <w:rsid w:val="003B2943"/>
    <w:rsid w:val="003B2AA2"/>
    <w:rsid w:val="003B2D8A"/>
    <w:rsid w:val="003B2ED7"/>
    <w:rsid w:val="003B331C"/>
    <w:rsid w:val="003B36C9"/>
    <w:rsid w:val="003B37DE"/>
    <w:rsid w:val="003B40A1"/>
    <w:rsid w:val="003B486F"/>
    <w:rsid w:val="003B5704"/>
    <w:rsid w:val="003B57D2"/>
    <w:rsid w:val="003B59D7"/>
    <w:rsid w:val="003B5E34"/>
    <w:rsid w:val="003B6178"/>
    <w:rsid w:val="003B660F"/>
    <w:rsid w:val="003B68F3"/>
    <w:rsid w:val="003B6A5D"/>
    <w:rsid w:val="003B6CE7"/>
    <w:rsid w:val="003B6D32"/>
    <w:rsid w:val="003B6F11"/>
    <w:rsid w:val="003B723A"/>
    <w:rsid w:val="003B740F"/>
    <w:rsid w:val="003B756A"/>
    <w:rsid w:val="003B7B83"/>
    <w:rsid w:val="003B7E98"/>
    <w:rsid w:val="003B7ED0"/>
    <w:rsid w:val="003B7EE2"/>
    <w:rsid w:val="003C079F"/>
    <w:rsid w:val="003C07C8"/>
    <w:rsid w:val="003C14F1"/>
    <w:rsid w:val="003C1594"/>
    <w:rsid w:val="003C1731"/>
    <w:rsid w:val="003C17E6"/>
    <w:rsid w:val="003C2130"/>
    <w:rsid w:val="003C23C9"/>
    <w:rsid w:val="003C2EF2"/>
    <w:rsid w:val="003C3DBE"/>
    <w:rsid w:val="003C3F1F"/>
    <w:rsid w:val="003C440D"/>
    <w:rsid w:val="003C4550"/>
    <w:rsid w:val="003C4CF6"/>
    <w:rsid w:val="003C4E27"/>
    <w:rsid w:val="003C58C9"/>
    <w:rsid w:val="003C58E6"/>
    <w:rsid w:val="003C5C01"/>
    <w:rsid w:val="003C5F54"/>
    <w:rsid w:val="003C66CC"/>
    <w:rsid w:val="003C6731"/>
    <w:rsid w:val="003C6980"/>
    <w:rsid w:val="003D06CF"/>
    <w:rsid w:val="003D0EC3"/>
    <w:rsid w:val="003D13E0"/>
    <w:rsid w:val="003D1CCB"/>
    <w:rsid w:val="003D1FF7"/>
    <w:rsid w:val="003D2EAB"/>
    <w:rsid w:val="003D3C59"/>
    <w:rsid w:val="003D450B"/>
    <w:rsid w:val="003D47B4"/>
    <w:rsid w:val="003D5097"/>
    <w:rsid w:val="003D52BF"/>
    <w:rsid w:val="003D65DF"/>
    <w:rsid w:val="003D73C0"/>
    <w:rsid w:val="003D767D"/>
    <w:rsid w:val="003D7AD8"/>
    <w:rsid w:val="003E0205"/>
    <w:rsid w:val="003E036C"/>
    <w:rsid w:val="003E0973"/>
    <w:rsid w:val="003E0C91"/>
    <w:rsid w:val="003E1083"/>
    <w:rsid w:val="003E18FC"/>
    <w:rsid w:val="003E1982"/>
    <w:rsid w:val="003E1D15"/>
    <w:rsid w:val="003E1FC3"/>
    <w:rsid w:val="003E37B1"/>
    <w:rsid w:val="003E39D6"/>
    <w:rsid w:val="003E3A24"/>
    <w:rsid w:val="003E4084"/>
    <w:rsid w:val="003E412A"/>
    <w:rsid w:val="003E46F2"/>
    <w:rsid w:val="003E4ECB"/>
    <w:rsid w:val="003E5169"/>
    <w:rsid w:val="003E5AE8"/>
    <w:rsid w:val="003E61A6"/>
    <w:rsid w:val="003E68F2"/>
    <w:rsid w:val="003E7350"/>
    <w:rsid w:val="003F0ED8"/>
    <w:rsid w:val="003F1183"/>
    <w:rsid w:val="003F122A"/>
    <w:rsid w:val="003F1F04"/>
    <w:rsid w:val="003F238E"/>
    <w:rsid w:val="003F2870"/>
    <w:rsid w:val="003F28A8"/>
    <w:rsid w:val="003F28E5"/>
    <w:rsid w:val="003F2B1B"/>
    <w:rsid w:val="003F379E"/>
    <w:rsid w:val="003F3BB6"/>
    <w:rsid w:val="003F3E4D"/>
    <w:rsid w:val="003F40E8"/>
    <w:rsid w:val="003F4FFC"/>
    <w:rsid w:val="003F5B2E"/>
    <w:rsid w:val="003F5DC6"/>
    <w:rsid w:val="003F6A1D"/>
    <w:rsid w:val="003F7024"/>
    <w:rsid w:val="003F75E5"/>
    <w:rsid w:val="003F793C"/>
    <w:rsid w:val="003F7A44"/>
    <w:rsid w:val="003F7F1E"/>
    <w:rsid w:val="004000DB"/>
    <w:rsid w:val="00400402"/>
    <w:rsid w:val="004010C9"/>
    <w:rsid w:val="004015C5"/>
    <w:rsid w:val="00401BA1"/>
    <w:rsid w:val="00402938"/>
    <w:rsid w:val="00402BE9"/>
    <w:rsid w:val="00402FD4"/>
    <w:rsid w:val="004032B7"/>
    <w:rsid w:val="00403964"/>
    <w:rsid w:val="0040418C"/>
    <w:rsid w:val="00404459"/>
    <w:rsid w:val="00404D92"/>
    <w:rsid w:val="00404DBB"/>
    <w:rsid w:val="00404FC9"/>
    <w:rsid w:val="00405916"/>
    <w:rsid w:val="004060CB"/>
    <w:rsid w:val="00406B16"/>
    <w:rsid w:val="00406D6A"/>
    <w:rsid w:val="00407044"/>
    <w:rsid w:val="00407096"/>
    <w:rsid w:val="00407C42"/>
    <w:rsid w:val="00410C4C"/>
    <w:rsid w:val="00410FA7"/>
    <w:rsid w:val="004116E7"/>
    <w:rsid w:val="00411A0E"/>
    <w:rsid w:val="00411A70"/>
    <w:rsid w:val="00412293"/>
    <w:rsid w:val="00412343"/>
    <w:rsid w:val="004125FE"/>
    <w:rsid w:val="00413540"/>
    <w:rsid w:val="00413A71"/>
    <w:rsid w:val="00413F2F"/>
    <w:rsid w:val="00414152"/>
    <w:rsid w:val="004141D6"/>
    <w:rsid w:val="0041423D"/>
    <w:rsid w:val="004145E7"/>
    <w:rsid w:val="0041498D"/>
    <w:rsid w:val="00414FC6"/>
    <w:rsid w:val="00415660"/>
    <w:rsid w:val="00415797"/>
    <w:rsid w:val="00415EA4"/>
    <w:rsid w:val="00416421"/>
    <w:rsid w:val="00416967"/>
    <w:rsid w:val="00416BA8"/>
    <w:rsid w:val="00417449"/>
    <w:rsid w:val="00417693"/>
    <w:rsid w:val="00417952"/>
    <w:rsid w:val="00417A07"/>
    <w:rsid w:val="00417A40"/>
    <w:rsid w:val="00417CFC"/>
    <w:rsid w:val="004208D1"/>
    <w:rsid w:val="00420937"/>
    <w:rsid w:val="00421120"/>
    <w:rsid w:val="00421BA9"/>
    <w:rsid w:val="00421CFA"/>
    <w:rsid w:val="00421FDF"/>
    <w:rsid w:val="00422160"/>
    <w:rsid w:val="00422A7D"/>
    <w:rsid w:val="004234DE"/>
    <w:rsid w:val="0042356C"/>
    <w:rsid w:val="00423C5B"/>
    <w:rsid w:val="00423F40"/>
    <w:rsid w:val="00424408"/>
    <w:rsid w:val="004249F2"/>
    <w:rsid w:val="00424C11"/>
    <w:rsid w:val="00424CA9"/>
    <w:rsid w:val="00424DCB"/>
    <w:rsid w:val="004255B2"/>
    <w:rsid w:val="004259B7"/>
    <w:rsid w:val="00425C57"/>
    <w:rsid w:val="00425E54"/>
    <w:rsid w:val="004261C0"/>
    <w:rsid w:val="0042706A"/>
    <w:rsid w:val="00427861"/>
    <w:rsid w:val="00427DE7"/>
    <w:rsid w:val="00427E52"/>
    <w:rsid w:val="004305A9"/>
    <w:rsid w:val="004308AA"/>
    <w:rsid w:val="00430BAE"/>
    <w:rsid w:val="00430F8C"/>
    <w:rsid w:val="00431015"/>
    <w:rsid w:val="00431754"/>
    <w:rsid w:val="004317A5"/>
    <w:rsid w:val="004319D2"/>
    <w:rsid w:val="00431A8C"/>
    <w:rsid w:val="00431D38"/>
    <w:rsid w:val="00431DCE"/>
    <w:rsid w:val="004321FC"/>
    <w:rsid w:val="00432A64"/>
    <w:rsid w:val="00432F0D"/>
    <w:rsid w:val="004332EC"/>
    <w:rsid w:val="0043410B"/>
    <w:rsid w:val="004341A9"/>
    <w:rsid w:val="004342AD"/>
    <w:rsid w:val="00434764"/>
    <w:rsid w:val="004351FB"/>
    <w:rsid w:val="00435A1A"/>
    <w:rsid w:val="00435E43"/>
    <w:rsid w:val="0043630B"/>
    <w:rsid w:val="00436544"/>
    <w:rsid w:val="00436602"/>
    <w:rsid w:val="00436E59"/>
    <w:rsid w:val="00437148"/>
    <w:rsid w:val="004371FB"/>
    <w:rsid w:val="0043789D"/>
    <w:rsid w:val="00437C6B"/>
    <w:rsid w:val="00437CB9"/>
    <w:rsid w:val="004406F7"/>
    <w:rsid w:val="00441073"/>
    <w:rsid w:val="004412B6"/>
    <w:rsid w:val="004418EA"/>
    <w:rsid w:val="00441B5F"/>
    <w:rsid w:val="004424D3"/>
    <w:rsid w:val="004427B3"/>
    <w:rsid w:val="00442957"/>
    <w:rsid w:val="00442A6E"/>
    <w:rsid w:val="00442BCD"/>
    <w:rsid w:val="00442DE3"/>
    <w:rsid w:val="00442EB9"/>
    <w:rsid w:val="00443020"/>
    <w:rsid w:val="004435F5"/>
    <w:rsid w:val="00444501"/>
    <w:rsid w:val="00444571"/>
    <w:rsid w:val="0044461A"/>
    <w:rsid w:val="00444998"/>
    <w:rsid w:val="004449D9"/>
    <w:rsid w:val="00444B97"/>
    <w:rsid w:val="004450E9"/>
    <w:rsid w:val="004452F3"/>
    <w:rsid w:val="00445677"/>
    <w:rsid w:val="00445EC0"/>
    <w:rsid w:val="00447476"/>
    <w:rsid w:val="00447586"/>
    <w:rsid w:val="00447B4B"/>
    <w:rsid w:val="00447E79"/>
    <w:rsid w:val="004501D4"/>
    <w:rsid w:val="00450C90"/>
    <w:rsid w:val="00452363"/>
    <w:rsid w:val="004528CD"/>
    <w:rsid w:val="00452E3D"/>
    <w:rsid w:val="00452F0A"/>
    <w:rsid w:val="00453172"/>
    <w:rsid w:val="004543A0"/>
    <w:rsid w:val="00454593"/>
    <w:rsid w:val="004545E7"/>
    <w:rsid w:val="00454A87"/>
    <w:rsid w:val="00454C8B"/>
    <w:rsid w:val="004556C6"/>
    <w:rsid w:val="00455DA5"/>
    <w:rsid w:val="0045641A"/>
    <w:rsid w:val="00456674"/>
    <w:rsid w:val="00456C3C"/>
    <w:rsid w:val="00456C5F"/>
    <w:rsid w:val="00456E1A"/>
    <w:rsid w:val="00457581"/>
    <w:rsid w:val="00457813"/>
    <w:rsid w:val="00457945"/>
    <w:rsid w:val="004600D6"/>
    <w:rsid w:val="00460B5B"/>
    <w:rsid w:val="004610DF"/>
    <w:rsid w:val="0046133F"/>
    <w:rsid w:val="00461345"/>
    <w:rsid w:val="0046177A"/>
    <w:rsid w:val="00461A20"/>
    <w:rsid w:val="00461F14"/>
    <w:rsid w:val="0046219B"/>
    <w:rsid w:val="0046256E"/>
    <w:rsid w:val="00462609"/>
    <w:rsid w:val="00462B7E"/>
    <w:rsid w:val="004630D7"/>
    <w:rsid w:val="00463B9A"/>
    <w:rsid w:val="00463D07"/>
    <w:rsid w:val="00463F2E"/>
    <w:rsid w:val="0046426B"/>
    <w:rsid w:val="0046468A"/>
    <w:rsid w:val="0046485B"/>
    <w:rsid w:val="0046487E"/>
    <w:rsid w:val="0046493A"/>
    <w:rsid w:val="0046502F"/>
    <w:rsid w:val="004652CD"/>
    <w:rsid w:val="00465CA0"/>
    <w:rsid w:val="00466178"/>
    <w:rsid w:val="004665B1"/>
    <w:rsid w:val="004665B3"/>
    <w:rsid w:val="0046792C"/>
    <w:rsid w:val="0047017A"/>
    <w:rsid w:val="004707D6"/>
    <w:rsid w:val="00470868"/>
    <w:rsid w:val="0047174F"/>
    <w:rsid w:val="00472191"/>
    <w:rsid w:val="0047221D"/>
    <w:rsid w:val="004726F8"/>
    <w:rsid w:val="004727B9"/>
    <w:rsid w:val="004739E1"/>
    <w:rsid w:val="00473D27"/>
    <w:rsid w:val="0047421B"/>
    <w:rsid w:val="0047426A"/>
    <w:rsid w:val="004743A9"/>
    <w:rsid w:val="00474BC5"/>
    <w:rsid w:val="00474D5B"/>
    <w:rsid w:val="00475163"/>
    <w:rsid w:val="004753D6"/>
    <w:rsid w:val="00475437"/>
    <w:rsid w:val="0047570F"/>
    <w:rsid w:val="0047592E"/>
    <w:rsid w:val="0047642D"/>
    <w:rsid w:val="00476769"/>
    <w:rsid w:val="004768F7"/>
    <w:rsid w:val="00476BDD"/>
    <w:rsid w:val="00476D90"/>
    <w:rsid w:val="00477403"/>
    <w:rsid w:val="00477BD4"/>
    <w:rsid w:val="0048020A"/>
    <w:rsid w:val="00480696"/>
    <w:rsid w:val="00481605"/>
    <w:rsid w:val="004835BC"/>
    <w:rsid w:val="00483884"/>
    <w:rsid w:val="004839A2"/>
    <w:rsid w:val="004847B9"/>
    <w:rsid w:val="00484A72"/>
    <w:rsid w:val="00484CC4"/>
    <w:rsid w:val="00484F88"/>
    <w:rsid w:val="004853E1"/>
    <w:rsid w:val="00485496"/>
    <w:rsid w:val="0048577C"/>
    <w:rsid w:val="00485CC9"/>
    <w:rsid w:val="004862BE"/>
    <w:rsid w:val="00486A1E"/>
    <w:rsid w:val="00486D16"/>
    <w:rsid w:val="00487319"/>
    <w:rsid w:val="00487751"/>
    <w:rsid w:val="004900F7"/>
    <w:rsid w:val="00490267"/>
    <w:rsid w:val="0049189F"/>
    <w:rsid w:val="00491AA6"/>
    <w:rsid w:val="00491DDB"/>
    <w:rsid w:val="00492366"/>
    <w:rsid w:val="00492519"/>
    <w:rsid w:val="00492A51"/>
    <w:rsid w:val="00492DBA"/>
    <w:rsid w:val="00493CA4"/>
    <w:rsid w:val="00493D7D"/>
    <w:rsid w:val="00493F97"/>
    <w:rsid w:val="00494B97"/>
    <w:rsid w:val="0049532D"/>
    <w:rsid w:val="00495583"/>
    <w:rsid w:val="00495866"/>
    <w:rsid w:val="00495B79"/>
    <w:rsid w:val="00496218"/>
    <w:rsid w:val="0049663E"/>
    <w:rsid w:val="00496641"/>
    <w:rsid w:val="00496AF4"/>
    <w:rsid w:val="0049728A"/>
    <w:rsid w:val="004975F1"/>
    <w:rsid w:val="004A0346"/>
    <w:rsid w:val="004A0405"/>
    <w:rsid w:val="004A0DF6"/>
    <w:rsid w:val="004A1B70"/>
    <w:rsid w:val="004A1E97"/>
    <w:rsid w:val="004A20DD"/>
    <w:rsid w:val="004A2A78"/>
    <w:rsid w:val="004A2FD1"/>
    <w:rsid w:val="004A4FB0"/>
    <w:rsid w:val="004A546A"/>
    <w:rsid w:val="004A576F"/>
    <w:rsid w:val="004A6BAE"/>
    <w:rsid w:val="004A6CAF"/>
    <w:rsid w:val="004A72F7"/>
    <w:rsid w:val="004A7528"/>
    <w:rsid w:val="004A7DC0"/>
    <w:rsid w:val="004B0153"/>
    <w:rsid w:val="004B037E"/>
    <w:rsid w:val="004B0911"/>
    <w:rsid w:val="004B0F21"/>
    <w:rsid w:val="004B14F8"/>
    <w:rsid w:val="004B1C13"/>
    <w:rsid w:val="004B2AFB"/>
    <w:rsid w:val="004B2F5A"/>
    <w:rsid w:val="004B3606"/>
    <w:rsid w:val="004B365B"/>
    <w:rsid w:val="004B3B95"/>
    <w:rsid w:val="004B3C90"/>
    <w:rsid w:val="004B42C7"/>
    <w:rsid w:val="004B4DC8"/>
    <w:rsid w:val="004B54E7"/>
    <w:rsid w:val="004B59BB"/>
    <w:rsid w:val="004B5DDD"/>
    <w:rsid w:val="004B70AF"/>
    <w:rsid w:val="004B71F8"/>
    <w:rsid w:val="004C0123"/>
    <w:rsid w:val="004C0827"/>
    <w:rsid w:val="004C1291"/>
    <w:rsid w:val="004C133C"/>
    <w:rsid w:val="004C1718"/>
    <w:rsid w:val="004C17FB"/>
    <w:rsid w:val="004C19B6"/>
    <w:rsid w:val="004C3C9B"/>
    <w:rsid w:val="004C3CB6"/>
    <w:rsid w:val="004C40E2"/>
    <w:rsid w:val="004C49F6"/>
    <w:rsid w:val="004C4B91"/>
    <w:rsid w:val="004C508F"/>
    <w:rsid w:val="004C5116"/>
    <w:rsid w:val="004C5236"/>
    <w:rsid w:val="004C5243"/>
    <w:rsid w:val="004C5565"/>
    <w:rsid w:val="004C5A9A"/>
    <w:rsid w:val="004C60A1"/>
    <w:rsid w:val="004C645D"/>
    <w:rsid w:val="004C64D3"/>
    <w:rsid w:val="004C69E9"/>
    <w:rsid w:val="004C6CBD"/>
    <w:rsid w:val="004C6F88"/>
    <w:rsid w:val="004C70E1"/>
    <w:rsid w:val="004C77D5"/>
    <w:rsid w:val="004C7825"/>
    <w:rsid w:val="004D0102"/>
    <w:rsid w:val="004D051D"/>
    <w:rsid w:val="004D0A6B"/>
    <w:rsid w:val="004D0D7F"/>
    <w:rsid w:val="004D114E"/>
    <w:rsid w:val="004D1500"/>
    <w:rsid w:val="004D15C9"/>
    <w:rsid w:val="004D19E2"/>
    <w:rsid w:val="004D1EBB"/>
    <w:rsid w:val="004D1FF7"/>
    <w:rsid w:val="004D232F"/>
    <w:rsid w:val="004D2594"/>
    <w:rsid w:val="004D2925"/>
    <w:rsid w:val="004D2D66"/>
    <w:rsid w:val="004D2F57"/>
    <w:rsid w:val="004D30D3"/>
    <w:rsid w:val="004D3573"/>
    <w:rsid w:val="004D392E"/>
    <w:rsid w:val="004D3EB4"/>
    <w:rsid w:val="004D3FB8"/>
    <w:rsid w:val="004D402A"/>
    <w:rsid w:val="004D4276"/>
    <w:rsid w:val="004D4E03"/>
    <w:rsid w:val="004D58B9"/>
    <w:rsid w:val="004D5E2D"/>
    <w:rsid w:val="004D5EDD"/>
    <w:rsid w:val="004D6221"/>
    <w:rsid w:val="004D6440"/>
    <w:rsid w:val="004D6CCE"/>
    <w:rsid w:val="004D6E0D"/>
    <w:rsid w:val="004D6E2E"/>
    <w:rsid w:val="004D762E"/>
    <w:rsid w:val="004D7E24"/>
    <w:rsid w:val="004D7E3A"/>
    <w:rsid w:val="004D7E3E"/>
    <w:rsid w:val="004E004D"/>
    <w:rsid w:val="004E08A2"/>
    <w:rsid w:val="004E0AB2"/>
    <w:rsid w:val="004E0D02"/>
    <w:rsid w:val="004E0F6C"/>
    <w:rsid w:val="004E0F95"/>
    <w:rsid w:val="004E1181"/>
    <w:rsid w:val="004E1BB8"/>
    <w:rsid w:val="004E1BE3"/>
    <w:rsid w:val="004E1FD9"/>
    <w:rsid w:val="004E2294"/>
    <w:rsid w:val="004E25D1"/>
    <w:rsid w:val="004E26E6"/>
    <w:rsid w:val="004E287B"/>
    <w:rsid w:val="004E315E"/>
    <w:rsid w:val="004E32AD"/>
    <w:rsid w:val="004E33AA"/>
    <w:rsid w:val="004E417F"/>
    <w:rsid w:val="004E466F"/>
    <w:rsid w:val="004E4D97"/>
    <w:rsid w:val="004E5934"/>
    <w:rsid w:val="004E5C14"/>
    <w:rsid w:val="004E5CF5"/>
    <w:rsid w:val="004E5D2A"/>
    <w:rsid w:val="004E5E56"/>
    <w:rsid w:val="004E5E9C"/>
    <w:rsid w:val="004E5EC4"/>
    <w:rsid w:val="004E6AA8"/>
    <w:rsid w:val="004E6B0A"/>
    <w:rsid w:val="004E6C2F"/>
    <w:rsid w:val="004E71BF"/>
    <w:rsid w:val="004E7419"/>
    <w:rsid w:val="004E7545"/>
    <w:rsid w:val="004E767D"/>
    <w:rsid w:val="004E77DD"/>
    <w:rsid w:val="004E79AA"/>
    <w:rsid w:val="004E7AD2"/>
    <w:rsid w:val="004E7CEE"/>
    <w:rsid w:val="004E7DC3"/>
    <w:rsid w:val="004F005F"/>
    <w:rsid w:val="004F04AB"/>
    <w:rsid w:val="004F0772"/>
    <w:rsid w:val="004F108A"/>
    <w:rsid w:val="004F1F0D"/>
    <w:rsid w:val="004F23F2"/>
    <w:rsid w:val="004F2D62"/>
    <w:rsid w:val="004F3440"/>
    <w:rsid w:val="004F3498"/>
    <w:rsid w:val="004F381C"/>
    <w:rsid w:val="004F3C11"/>
    <w:rsid w:val="004F3C8C"/>
    <w:rsid w:val="004F4265"/>
    <w:rsid w:val="004F4771"/>
    <w:rsid w:val="004F4CE4"/>
    <w:rsid w:val="004F4F52"/>
    <w:rsid w:val="004F4FD6"/>
    <w:rsid w:val="004F51AA"/>
    <w:rsid w:val="004F5A84"/>
    <w:rsid w:val="004F5B9D"/>
    <w:rsid w:val="004F5EB3"/>
    <w:rsid w:val="004F6176"/>
    <w:rsid w:val="004F617A"/>
    <w:rsid w:val="004F682B"/>
    <w:rsid w:val="004F6D1F"/>
    <w:rsid w:val="004F6D52"/>
    <w:rsid w:val="004F7735"/>
    <w:rsid w:val="004F7C67"/>
    <w:rsid w:val="00500455"/>
    <w:rsid w:val="0050153D"/>
    <w:rsid w:val="00501602"/>
    <w:rsid w:val="00501855"/>
    <w:rsid w:val="00501915"/>
    <w:rsid w:val="00501B78"/>
    <w:rsid w:val="005043EE"/>
    <w:rsid w:val="00504BD4"/>
    <w:rsid w:val="0050576A"/>
    <w:rsid w:val="0050583E"/>
    <w:rsid w:val="005059EC"/>
    <w:rsid w:val="00505E92"/>
    <w:rsid w:val="005066DF"/>
    <w:rsid w:val="00506876"/>
    <w:rsid w:val="00506E4A"/>
    <w:rsid w:val="0050750E"/>
    <w:rsid w:val="00507B57"/>
    <w:rsid w:val="00507CB2"/>
    <w:rsid w:val="0051009A"/>
    <w:rsid w:val="005100C1"/>
    <w:rsid w:val="00510752"/>
    <w:rsid w:val="0051090F"/>
    <w:rsid w:val="00510AC0"/>
    <w:rsid w:val="00510B79"/>
    <w:rsid w:val="00510CC4"/>
    <w:rsid w:val="00510F4E"/>
    <w:rsid w:val="00511368"/>
    <w:rsid w:val="005116A4"/>
    <w:rsid w:val="00511DAC"/>
    <w:rsid w:val="005127E0"/>
    <w:rsid w:val="005127F4"/>
    <w:rsid w:val="0051347E"/>
    <w:rsid w:val="00513615"/>
    <w:rsid w:val="00513829"/>
    <w:rsid w:val="00513977"/>
    <w:rsid w:val="00513A61"/>
    <w:rsid w:val="00513FB2"/>
    <w:rsid w:val="00514639"/>
    <w:rsid w:val="0051490F"/>
    <w:rsid w:val="00514CFB"/>
    <w:rsid w:val="00515B52"/>
    <w:rsid w:val="00515BC3"/>
    <w:rsid w:val="00515CC7"/>
    <w:rsid w:val="00515D10"/>
    <w:rsid w:val="00515D45"/>
    <w:rsid w:val="005162BB"/>
    <w:rsid w:val="005162E5"/>
    <w:rsid w:val="00516C99"/>
    <w:rsid w:val="00516E59"/>
    <w:rsid w:val="0052032C"/>
    <w:rsid w:val="005208CE"/>
    <w:rsid w:val="00520914"/>
    <w:rsid w:val="00520E30"/>
    <w:rsid w:val="00521A49"/>
    <w:rsid w:val="00521B2F"/>
    <w:rsid w:val="00521FDC"/>
    <w:rsid w:val="0052201B"/>
    <w:rsid w:val="00522273"/>
    <w:rsid w:val="00522C8C"/>
    <w:rsid w:val="00523B95"/>
    <w:rsid w:val="00523C53"/>
    <w:rsid w:val="00523E16"/>
    <w:rsid w:val="00523E47"/>
    <w:rsid w:val="00524255"/>
    <w:rsid w:val="0052476A"/>
    <w:rsid w:val="00524988"/>
    <w:rsid w:val="00524DEC"/>
    <w:rsid w:val="00524EC0"/>
    <w:rsid w:val="005250F3"/>
    <w:rsid w:val="00525374"/>
    <w:rsid w:val="00525868"/>
    <w:rsid w:val="00525E3E"/>
    <w:rsid w:val="0052605E"/>
    <w:rsid w:val="0052612B"/>
    <w:rsid w:val="0052624B"/>
    <w:rsid w:val="0052677C"/>
    <w:rsid w:val="00526ADF"/>
    <w:rsid w:val="00526E0A"/>
    <w:rsid w:val="00527263"/>
    <w:rsid w:val="005274E0"/>
    <w:rsid w:val="00527AF9"/>
    <w:rsid w:val="00530266"/>
    <w:rsid w:val="00530812"/>
    <w:rsid w:val="00531558"/>
    <w:rsid w:val="00531A7D"/>
    <w:rsid w:val="0053267F"/>
    <w:rsid w:val="00532B45"/>
    <w:rsid w:val="00532C52"/>
    <w:rsid w:val="005342FD"/>
    <w:rsid w:val="00534BAA"/>
    <w:rsid w:val="005353D8"/>
    <w:rsid w:val="005354AF"/>
    <w:rsid w:val="0053556E"/>
    <w:rsid w:val="00535B7B"/>
    <w:rsid w:val="00536301"/>
    <w:rsid w:val="00536A76"/>
    <w:rsid w:val="005372EF"/>
    <w:rsid w:val="005374B4"/>
    <w:rsid w:val="005374CB"/>
    <w:rsid w:val="005377DA"/>
    <w:rsid w:val="00537B59"/>
    <w:rsid w:val="00537E56"/>
    <w:rsid w:val="00540125"/>
    <w:rsid w:val="00540500"/>
    <w:rsid w:val="005408F8"/>
    <w:rsid w:val="00540C0B"/>
    <w:rsid w:val="0054109B"/>
    <w:rsid w:val="0054164B"/>
    <w:rsid w:val="00541CD5"/>
    <w:rsid w:val="00541DB7"/>
    <w:rsid w:val="00541F86"/>
    <w:rsid w:val="00542049"/>
    <w:rsid w:val="00542110"/>
    <w:rsid w:val="0054217D"/>
    <w:rsid w:val="00542214"/>
    <w:rsid w:val="0054271C"/>
    <w:rsid w:val="00543549"/>
    <w:rsid w:val="005435EF"/>
    <w:rsid w:val="00543D7B"/>
    <w:rsid w:val="00543F4D"/>
    <w:rsid w:val="00544246"/>
    <w:rsid w:val="00544E0E"/>
    <w:rsid w:val="00544FC9"/>
    <w:rsid w:val="005457CC"/>
    <w:rsid w:val="005467F2"/>
    <w:rsid w:val="005469BA"/>
    <w:rsid w:val="00546A38"/>
    <w:rsid w:val="00546CB5"/>
    <w:rsid w:val="0054710B"/>
    <w:rsid w:val="00547636"/>
    <w:rsid w:val="00547E90"/>
    <w:rsid w:val="00550A2E"/>
    <w:rsid w:val="00550D37"/>
    <w:rsid w:val="00550E62"/>
    <w:rsid w:val="00551BA6"/>
    <w:rsid w:val="00551CB4"/>
    <w:rsid w:val="00551CEF"/>
    <w:rsid w:val="00552019"/>
    <w:rsid w:val="005521C9"/>
    <w:rsid w:val="005523BC"/>
    <w:rsid w:val="0055326E"/>
    <w:rsid w:val="00553306"/>
    <w:rsid w:val="005538A2"/>
    <w:rsid w:val="00553E57"/>
    <w:rsid w:val="005552F2"/>
    <w:rsid w:val="005553B6"/>
    <w:rsid w:val="00556118"/>
    <w:rsid w:val="005574BE"/>
    <w:rsid w:val="00557ABB"/>
    <w:rsid w:val="00557B8C"/>
    <w:rsid w:val="00557DFB"/>
    <w:rsid w:val="0056075B"/>
    <w:rsid w:val="005607A3"/>
    <w:rsid w:val="0056085B"/>
    <w:rsid w:val="005609FF"/>
    <w:rsid w:val="00560ADC"/>
    <w:rsid w:val="00560BE2"/>
    <w:rsid w:val="005616AC"/>
    <w:rsid w:val="00561D7C"/>
    <w:rsid w:val="005620E5"/>
    <w:rsid w:val="005621ED"/>
    <w:rsid w:val="00562520"/>
    <w:rsid w:val="00562803"/>
    <w:rsid w:val="00562B0F"/>
    <w:rsid w:val="00562EE3"/>
    <w:rsid w:val="0056349C"/>
    <w:rsid w:val="00563916"/>
    <w:rsid w:val="00563AB6"/>
    <w:rsid w:val="00563B25"/>
    <w:rsid w:val="00564147"/>
    <w:rsid w:val="005643F4"/>
    <w:rsid w:val="00564479"/>
    <w:rsid w:val="00564F50"/>
    <w:rsid w:val="00565388"/>
    <w:rsid w:val="0056585A"/>
    <w:rsid w:val="00565BC3"/>
    <w:rsid w:val="00565CD1"/>
    <w:rsid w:val="0056632A"/>
    <w:rsid w:val="0056695E"/>
    <w:rsid w:val="00566AD0"/>
    <w:rsid w:val="00566E42"/>
    <w:rsid w:val="005673DA"/>
    <w:rsid w:val="00567CF4"/>
    <w:rsid w:val="00567D88"/>
    <w:rsid w:val="00570528"/>
    <w:rsid w:val="00570822"/>
    <w:rsid w:val="005708DE"/>
    <w:rsid w:val="00571C6F"/>
    <w:rsid w:val="00571D35"/>
    <w:rsid w:val="00571D6E"/>
    <w:rsid w:val="005724E8"/>
    <w:rsid w:val="00572E03"/>
    <w:rsid w:val="00572F74"/>
    <w:rsid w:val="00573125"/>
    <w:rsid w:val="00573155"/>
    <w:rsid w:val="005739BD"/>
    <w:rsid w:val="00573ED3"/>
    <w:rsid w:val="005746B8"/>
    <w:rsid w:val="0057476D"/>
    <w:rsid w:val="00574B62"/>
    <w:rsid w:val="00575808"/>
    <w:rsid w:val="00575985"/>
    <w:rsid w:val="00575C29"/>
    <w:rsid w:val="00576C47"/>
    <w:rsid w:val="00577388"/>
    <w:rsid w:val="005776F7"/>
    <w:rsid w:val="00577B9D"/>
    <w:rsid w:val="005805AA"/>
    <w:rsid w:val="005807F6"/>
    <w:rsid w:val="00580FD7"/>
    <w:rsid w:val="005811FB"/>
    <w:rsid w:val="00582478"/>
    <w:rsid w:val="005828F1"/>
    <w:rsid w:val="00582B7B"/>
    <w:rsid w:val="00583421"/>
    <w:rsid w:val="00583F42"/>
    <w:rsid w:val="00584074"/>
    <w:rsid w:val="00584254"/>
    <w:rsid w:val="005842C7"/>
    <w:rsid w:val="00584ED9"/>
    <w:rsid w:val="00584EDD"/>
    <w:rsid w:val="00586CC0"/>
    <w:rsid w:val="00586ECB"/>
    <w:rsid w:val="005870DD"/>
    <w:rsid w:val="00587642"/>
    <w:rsid w:val="005879D8"/>
    <w:rsid w:val="00587BA1"/>
    <w:rsid w:val="00587BAF"/>
    <w:rsid w:val="00590752"/>
    <w:rsid w:val="00590878"/>
    <w:rsid w:val="00590A8F"/>
    <w:rsid w:val="0059118C"/>
    <w:rsid w:val="005911E6"/>
    <w:rsid w:val="0059153E"/>
    <w:rsid w:val="00591C7D"/>
    <w:rsid w:val="00591CAF"/>
    <w:rsid w:val="00592268"/>
    <w:rsid w:val="005924A3"/>
    <w:rsid w:val="005927EE"/>
    <w:rsid w:val="00592AAB"/>
    <w:rsid w:val="0059332D"/>
    <w:rsid w:val="005941E1"/>
    <w:rsid w:val="00594725"/>
    <w:rsid w:val="00594DC7"/>
    <w:rsid w:val="00595552"/>
    <w:rsid w:val="005955C2"/>
    <w:rsid w:val="0059579D"/>
    <w:rsid w:val="00595C59"/>
    <w:rsid w:val="005967D1"/>
    <w:rsid w:val="00596FF8"/>
    <w:rsid w:val="0059717D"/>
    <w:rsid w:val="005973C6"/>
    <w:rsid w:val="005979F1"/>
    <w:rsid w:val="00597C39"/>
    <w:rsid w:val="005A110B"/>
    <w:rsid w:val="005A11F4"/>
    <w:rsid w:val="005A13C9"/>
    <w:rsid w:val="005A17C6"/>
    <w:rsid w:val="005A195B"/>
    <w:rsid w:val="005A27F2"/>
    <w:rsid w:val="005A2B6A"/>
    <w:rsid w:val="005A2C1A"/>
    <w:rsid w:val="005A2F3A"/>
    <w:rsid w:val="005A37A5"/>
    <w:rsid w:val="005A3B41"/>
    <w:rsid w:val="005A438C"/>
    <w:rsid w:val="005A4996"/>
    <w:rsid w:val="005A4A9D"/>
    <w:rsid w:val="005A4E03"/>
    <w:rsid w:val="005A4FA3"/>
    <w:rsid w:val="005A5175"/>
    <w:rsid w:val="005A5AD6"/>
    <w:rsid w:val="005A6422"/>
    <w:rsid w:val="005A643D"/>
    <w:rsid w:val="005A6664"/>
    <w:rsid w:val="005A6B5C"/>
    <w:rsid w:val="005A6C42"/>
    <w:rsid w:val="005A6EC1"/>
    <w:rsid w:val="005A7349"/>
    <w:rsid w:val="005A7388"/>
    <w:rsid w:val="005A7BB0"/>
    <w:rsid w:val="005A7D4E"/>
    <w:rsid w:val="005A7F40"/>
    <w:rsid w:val="005B028F"/>
    <w:rsid w:val="005B03F3"/>
    <w:rsid w:val="005B0A76"/>
    <w:rsid w:val="005B0C2B"/>
    <w:rsid w:val="005B0F73"/>
    <w:rsid w:val="005B1060"/>
    <w:rsid w:val="005B1675"/>
    <w:rsid w:val="005B23FB"/>
    <w:rsid w:val="005B2B1C"/>
    <w:rsid w:val="005B2CA2"/>
    <w:rsid w:val="005B30AF"/>
    <w:rsid w:val="005B3850"/>
    <w:rsid w:val="005B395A"/>
    <w:rsid w:val="005B3AFC"/>
    <w:rsid w:val="005B3B6C"/>
    <w:rsid w:val="005B3FAB"/>
    <w:rsid w:val="005B4417"/>
    <w:rsid w:val="005B442F"/>
    <w:rsid w:val="005B49D1"/>
    <w:rsid w:val="005B4AFD"/>
    <w:rsid w:val="005B4F90"/>
    <w:rsid w:val="005B56F0"/>
    <w:rsid w:val="005B6261"/>
    <w:rsid w:val="005B67B4"/>
    <w:rsid w:val="005B6CDD"/>
    <w:rsid w:val="005B70F8"/>
    <w:rsid w:val="005B76A9"/>
    <w:rsid w:val="005B7DB0"/>
    <w:rsid w:val="005C0962"/>
    <w:rsid w:val="005C0AA5"/>
    <w:rsid w:val="005C0ABA"/>
    <w:rsid w:val="005C1757"/>
    <w:rsid w:val="005C19B0"/>
    <w:rsid w:val="005C2893"/>
    <w:rsid w:val="005C2949"/>
    <w:rsid w:val="005C2C61"/>
    <w:rsid w:val="005C2E79"/>
    <w:rsid w:val="005C3035"/>
    <w:rsid w:val="005C30FC"/>
    <w:rsid w:val="005C35DE"/>
    <w:rsid w:val="005C395A"/>
    <w:rsid w:val="005C3B11"/>
    <w:rsid w:val="005C3D9D"/>
    <w:rsid w:val="005C3E0E"/>
    <w:rsid w:val="005C421A"/>
    <w:rsid w:val="005C42BF"/>
    <w:rsid w:val="005C4384"/>
    <w:rsid w:val="005C43AD"/>
    <w:rsid w:val="005C4867"/>
    <w:rsid w:val="005C48E3"/>
    <w:rsid w:val="005C4BFC"/>
    <w:rsid w:val="005C4D39"/>
    <w:rsid w:val="005C4DED"/>
    <w:rsid w:val="005C536C"/>
    <w:rsid w:val="005C5419"/>
    <w:rsid w:val="005C584F"/>
    <w:rsid w:val="005C5D1A"/>
    <w:rsid w:val="005C5DF9"/>
    <w:rsid w:val="005C6689"/>
    <w:rsid w:val="005C6A2B"/>
    <w:rsid w:val="005C7E1B"/>
    <w:rsid w:val="005D028B"/>
    <w:rsid w:val="005D04BE"/>
    <w:rsid w:val="005D04E4"/>
    <w:rsid w:val="005D096A"/>
    <w:rsid w:val="005D0B39"/>
    <w:rsid w:val="005D1B2D"/>
    <w:rsid w:val="005D1C06"/>
    <w:rsid w:val="005D1EAA"/>
    <w:rsid w:val="005D2DF2"/>
    <w:rsid w:val="005D2E73"/>
    <w:rsid w:val="005D3101"/>
    <w:rsid w:val="005D314D"/>
    <w:rsid w:val="005D3707"/>
    <w:rsid w:val="005D3F38"/>
    <w:rsid w:val="005D4C40"/>
    <w:rsid w:val="005D518A"/>
    <w:rsid w:val="005D53A5"/>
    <w:rsid w:val="005D6A9F"/>
    <w:rsid w:val="005D7DBE"/>
    <w:rsid w:val="005D7DE0"/>
    <w:rsid w:val="005E006E"/>
    <w:rsid w:val="005E0406"/>
    <w:rsid w:val="005E06A2"/>
    <w:rsid w:val="005E0A28"/>
    <w:rsid w:val="005E0ADC"/>
    <w:rsid w:val="005E0B7C"/>
    <w:rsid w:val="005E114A"/>
    <w:rsid w:val="005E13E5"/>
    <w:rsid w:val="005E156C"/>
    <w:rsid w:val="005E1699"/>
    <w:rsid w:val="005E192C"/>
    <w:rsid w:val="005E1AE1"/>
    <w:rsid w:val="005E1EE3"/>
    <w:rsid w:val="005E1F63"/>
    <w:rsid w:val="005E2672"/>
    <w:rsid w:val="005E2781"/>
    <w:rsid w:val="005E2A35"/>
    <w:rsid w:val="005E3143"/>
    <w:rsid w:val="005E330D"/>
    <w:rsid w:val="005E344C"/>
    <w:rsid w:val="005E37ED"/>
    <w:rsid w:val="005E3821"/>
    <w:rsid w:val="005E43B5"/>
    <w:rsid w:val="005E4979"/>
    <w:rsid w:val="005E4C18"/>
    <w:rsid w:val="005E4DC3"/>
    <w:rsid w:val="005E5196"/>
    <w:rsid w:val="005E51BD"/>
    <w:rsid w:val="005E5450"/>
    <w:rsid w:val="005E5CEA"/>
    <w:rsid w:val="005E5E1D"/>
    <w:rsid w:val="005E618A"/>
    <w:rsid w:val="005E653C"/>
    <w:rsid w:val="005E653F"/>
    <w:rsid w:val="005E6588"/>
    <w:rsid w:val="005E692C"/>
    <w:rsid w:val="005E6A25"/>
    <w:rsid w:val="005E70CB"/>
    <w:rsid w:val="005E716B"/>
    <w:rsid w:val="005E721B"/>
    <w:rsid w:val="005E75FC"/>
    <w:rsid w:val="005E7B93"/>
    <w:rsid w:val="005F00FF"/>
    <w:rsid w:val="005F096E"/>
    <w:rsid w:val="005F0C27"/>
    <w:rsid w:val="005F0ECE"/>
    <w:rsid w:val="005F1072"/>
    <w:rsid w:val="005F10BE"/>
    <w:rsid w:val="005F204E"/>
    <w:rsid w:val="005F2054"/>
    <w:rsid w:val="005F20BC"/>
    <w:rsid w:val="005F233D"/>
    <w:rsid w:val="005F2C1A"/>
    <w:rsid w:val="005F3825"/>
    <w:rsid w:val="005F3991"/>
    <w:rsid w:val="005F3B18"/>
    <w:rsid w:val="005F4813"/>
    <w:rsid w:val="005F4815"/>
    <w:rsid w:val="005F4BC1"/>
    <w:rsid w:val="005F5833"/>
    <w:rsid w:val="005F5EC7"/>
    <w:rsid w:val="005F5FEF"/>
    <w:rsid w:val="005F6231"/>
    <w:rsid w:val="005F67B8"/>
    <w:rsid w:val="005F6A2F"/>
    <w:rsid w:val="005F6C09"/>
    <w:rsid w:val="005F6CCB"/>
    <w:rsid w:val="005F70C4"/>
    <w:rsid w:val="005F7486"/>
    <w:rsid w:val="005F74F5"/>
    <w:rsid w:val="005F7538"/>
    <w:rsid w:val="005F78B7"/>
    <w:rsid w:val="00600538"/>
    <w:rsid w:val="00600539"/>
    <w:rsid w:val="00600FA3"/>
    <w:rsid w:val="00601240"/>
    <w:rsid w:val="006019AB"/>
    <w:rsid w:val="006020C6"/>
    <w:rsid w:val="00602241"/>
    <w:rsid w:val="00602613"/>
    <w:rsid w:val="00602AAE"/>
    <w:rsid w:val="00602F1C"/>
    <w:rsid w:val="0060335A"/>
    <w:rsid w:val="0060351C"/>
    <w:rsid w:val="00603B66"/>
    <w:rsid w:val="00604D3F"/>
    <w:rsid w:val="006056FB"/>
    <w:rsid w:val="0060582F"/>
    <w:rsid w:val="00606381"/>
    <w:rsid w:val="006065E1"/>
    <w:rsid w:val="0061075D"/>
    <w:rsid w:val="00610A6C"/>
    <w:rsid w:val="006110C9"/>
    <w:rsid w:val="00611311"/>
    <w:rsid w:val="006113DF"/>
    <w:rsid w:val="00611B29"/>
    <w:rsid w:val="00611C6C"/>
    <w:rsid w:val="00611E6D"/>
    <w:rsid w:val="00612161"/>
    <w:rsid w:val="00612BE3"/>
    <w:rsid w:val="00612D27"/>
    <w:rsid w:val="00612F94"/>
    <w:rsid w:val="00613045"/>
    <w:rsid w:val="006132DD"/>
    <w:rsid w:val="0061358F"/>
    <w:rsid w:val="00613A5C"/>
    <w:rsid w:val="006143BA"/>
    <w:rsid w:val="006144F9"/>
    <w:rsid w:val="00614EDE"/>
    <w:rsid w:val="006158DF"/>
    <w:rsid w:val="00615BC2"/>
    <w:rsid w:val="006169CC"/>
    <w:rsid w:val="00616DE1"/>
    <w:rsid w:val="00616E04"/>
    <w:rsid w:val="00617242"/>
    <w:rsid w:val="00617540"/>
    <w:rsid w:val="00617779"/>
    <w:rsid w:val="0062021A"/>
    <w:rsid w:val="006202EC"/>
    <w:rsid w:val="00620BB5"/>
    <w:rsid w:val="00621097"/>
    <w:rsid w:val="00621785"/>
    <w:rsid w:val="006219F3"/>
    <w:rsid w:val="0062203A"/>
    <w:rsid w:val="006222E7"/>
    <w:rsid w:val="006224B0"/>
    <w:rsid w:val="006229DC"/>
    <w:rsid w:val="00622D36"/>
    <w:rsid w:val="00622FA1"/>
    <w:rsid w:val="00623619"/>
    <w:rsid w:val="0062385F"/>
    <w:rsid w:val="00623966"/>
    <w:rsid w:val="006242AF"/>
    <w:rsid w:val="0062433D"/>
    <w:rsid w:val="00624542"/>
    <w:rsid w:val="00624765"/>
    <w:rsid w:val="00625AFF"/>
    <w:rsid w:val="006265E6"/>
    <w:rsid w:val="00626716"/>
    <w:rsid w:val="006267E6"/>
    <w:rsid w:val="00626A0F"/>
    <w:rsid w:val="00626C4F"/>
    <w:rsid w:val="00626FC3"/>
    <w:rsid w:val="00627CDA"/>
    <w:rsid w:val="006307AA"/>
    <w:rsid w:val="00630947"/>
    <w:rsid w:val="00630A05"/>
    <w:rsid w:val="00630D50"/>
    <w:rsid w:val="00630EE0"/>
    <w:rsid w:val="0063113E"/>
    <w:rsid w:val="006316C6"/>
    <w:rsid w:val="006317B4"/>
    <w:rsid w:val="00631F04"/>
    <w:rsid w:val="006323A6"/>
    <w:rsid w:val="0063253D"/>
    <w:rsid w:val="00632812"/>
    <w:rsid w:val="00632E2C"/>
    <w:rsid w:val="0063347E"/>
    <w:rsid w:val="006345A0"/>
    <w:rsid w:val="00634763"/>
    <w:rsid w:val="00634FF2"/>
    <w:rsid w:val="006351CE"/>
    <w:rsid w:val="0063598C"/>
    <w:rsid w:val="00635FD4"/>
    <w:rsid w:val="006360D2"/>
    <w:rsid w:val="00636680"/>
    <w:rsid w:val="00636888"/>
    <w:rsid w:val="0063721E"/>
    <w:rsid w:val="006375E7"/>
    <w:rsid w:val="00637C6C"/>
    <w:rsid w:val="00640611"/>
    <w:rsid w:val="0064084F"/>
    <w:rsid w:val="00640B03"/>
    <w:rsid w:val="00640B12"/>
    <w:rsid w:val="00640E29"/>
    <w:rsid w:val="00641209"/>
    <w:rsid w:val="0064142C"/>
    <w:rsid w:val="00641DCB"/>
    <w:rsid w:val="00641E43"/>
    <w:rsid w:val="00643159"/>
    <w:rsid w:val="006437A3"/>
    <w:rsid w:val="00643CA8"/>
    <w:rsid w:val="00643E02"/>
    <w:rsid w:val="0064402D"/>
    <w:rsid w:val="006443FD"/>
    <w:rsid w:val="00644747"/>
    <w:rsid w:val="00644948"/>
    <w:rsid w:val="00645A42"/>
    <w:rsid w:val="00645A58"/>
    <w:rsid w:val="00645F37"/>
    <w:rsid w:val="006471DB"/>
    <w:rsid w:val="00647E68"/>
    <w:rsid w:val="00647FA2"/>
    <w:rsid w:val="0065041C"/>
    <w:rsid w:val="006509FE"/>
    <w:rsid w:val="00650E8E"/>
    <w:rsid w:val="006515B5"/>
    <w:rsid w:val="0065169B"/>
    <w:rsid w:val="0065186E"/>
    <w:rsid w:val="00652041"/>
    <w:rsid w:val="006527BD"/>
    <w:rsid w:val="00652851"/>
    <w:rsid w:val="00653157"/>
    <w:rsid w:val="00653C0B"/>
    <w:rsid w:val="00653D5F"/>
    <w:rsid w:val="00653DC0"/>
    <w:rsid w:val="0065406D"/>
    <w:rsid w:val="0065482B"/>
    <w:rsid w:val="0065492B"/>
    <w:rsid w:val="00654941"/>
    <w:rsid w:val="00654A05"/>
    <w:rsid w:val="00655614"/>
    <w:rsid w:val="00655B71"/>
    <w:rsid w:val="00656203"/>
    <w:rsid w:val="00656756"/>
    <w:rsid w:val="00656B62"/>
    <w:rsid w:val="00656E13"/>
    <w:rsid w:val="00656FDE"/>
    <w:rsid w:val="00657242"/>
    <w:rsid w:val="006574E9"/>
    <w:rsid w:val="00657F71"/>
    <w:rsid w:val="006600A5"/>
    <w:rsid w:val="0066014A"/>
    <w:rsid w:val="00660632"/>
    <w:rsid w:val="00660658"/>
    <w:rsid w:val="006608AC"/>
    <w:rsid w:val="00660FDB"/>
    <w:rsid w:val="006611DD"/>
    <w:rsid w:val="00661E4D"/>
    <w:rsid w:val="00662000"/>
    <w:rsid w:val="00662BB1"/>
    <w:rsid w:val="0066340C"/>
    <w:rsid w:val="006637E4"/>
    <w:rsid w:val="00663889"/>
    <w:rsid w:val="006642C6"/>
    <w:rsid w:val="00664CB3"/>
    <w:rsid w:val="00664CDF"/>
    <w:rsid w:val="00665945"/>
    <w:rsid w:val="006659E8"/>
    <w:rsid w:val="00665A64"/>
    <w:rsid w:val="00665CF9"/>
    <w:rsid w:val="00665F59"/>
    <w:rsid w:val="00666869"/>
    <w:rsid w:val="00666C06"/>
    <w:rsid w:val="00667079"/>
    <w:rsid w:val="00667517"/>
    <w:rsid w:val="00667737"/>
    <w:rsid w:val="006678D3"/>
    <w:rsid w:val="00670002"/>
    <w:rsid w:val="00670374"/>
    <w:rsid w:val="00670AE6"/>
    <w:rsid w:val="006714D2"/>
    <w:rsid w:val="00671F80"/>
    <w:rsid w:val="0067204E"/>
    <w:rsid w:val="006721E5"/>
    <w:rsid w:val="00672D66"/>
    <w:rsid w:val="00673028"/>
    <w:rsid w:val="00673E3F"/>
    <w:rsid w:val="00673E4B"/>
    <w:rsid w:val="00674AD1"/>
    <w:rsid w:val="00674B9B"/>
    <w:rsid w:val="00674C25"/>
    <w:rsid w:val="00675AD6"/>
    <w:rsid w:val="00675F73"/>
    <w:rsid w:val="0067658D"/>
    <w:rsid w:val="006769A1"/>
    <w:rsid w:val="006769D7"/>
    <w:rsid w:val="00676A4B"/>
    <w:rsid w:val="00677C7E"/>
    <w:rsid w:val="0068020C"/>
    <w:rsid w:val="00680C02"/>
    <w:rsid w:val="00680DBC"/>
    <w:rsid w:val="0068207F"/>
    <w:rsid w:val="006823DB"/>
    <w:rsid w:val="00682643"/>
    <w:rsid w:val="006828A3"/>
    <w:rsid w:val="00683536"/>
    <w:rsid w:val="00683E14"/>
    <w:rsid w:val="00684132"/>
    <w:rsid w:val="00684548"/>
    <w:rsid w:val="00684644"/>
    <w:rsid w:val="006847C8"/>
    <w:rsid w:val="0068575F"/>
    <w:rsid w:val="00685897"/>
    <w:rsid w:val="00685A8B"/>
    <w:rsid w:val="006862BF"/>
    <w:rsid w:val="006862ED"/>
    <w:rsid w:val="00686444"/>
    <w:rsid w:val="00686529"/>
    <w:rsid w:val="0068679D"/>
    <w:rsid w:val="006868FC"/>
    <w:rsid w:val="00686956"/>
    <w:rsid w:val="00686B90"/>
    <w:rsid w:val="006875F9"/>
    <w:rsid w:val="006877C2"/>
    <w:rsid w:val="00687818"/>
    <w:rsid w:val="00690B5E"/>
    <w:rsid w:val="00690DBC"/>
    <w:rsid w:val="00690F4F"/>
    <w:rsid w:val="006918A6"/>
    <w:rsid w:val="006927F6"/>
    <w:rsid w:val="00692845"/>
    <w:rsid w:val="006928E7"/>
    <w:rsid w:val="00692B21"/>
    <w:rsid w:val="00693A9A"/>
    <w:rsid w:val="00694802"/>
    <w:rsid w:val="006951E3"/>
    <w:rsid w:val="006959BD"/>
    <w:rsid w:val="00695C49"/>
    <w:rsid w:val="006961D4"/>
    <w:rsid w:val="00696B0C"/>
    <w:rsid w:val="00696B80"/>
    <w:rsid w:val="00696CBE"/>
    <w:rsid w:val="00697006"/>
    <w:rsid w:val="006979AF"/>
    <w:rsid w:val="006A112F"/>
    <w:rsid w:val="006A179C"/>
    <w:rsid w:val="006A17C4"/>
    <w:rsid w:val="006A1844"/>
    <w:rsid w:val="006A188D"/>
    <w:rsid w:val="006A2110"/>
    <w:rsid w:val="006A21E4"/>
    <w:rsid w:val="006A2379"/>
    <w:rsid w:val="006A2514"/>
    <w:rsid w:val="006A2837"/>
    <w:rsid w:val="006A301B"/>
    <w:rsid w:val="006A3352"/>
    <w:rsid w:val="006A371E"/>
    <w:rsid w:val="006A3874"/>
    <w:rsid w:val="006A3B78"/>
    <w:rsid w:val="006A3B7D"/>
    <w:rsid w:val="006A46F5"/>
    <w:rsid w:val="006A4A19"/>
    <w:rsid w:val="006A4B97"/>
    <w:rsid w:val="006A6397"/>
    <w:rsid w:val="006A6BA8"/>
    <w:rsid w:val="006A7419"/>
    <w:rsid w:val="006A760A"/>
    <w:rsid w:val="006B063C"/>
    <w:rsid w:val="006B0E0A"/>
    <w:rsid w:val="006B10F5"/>
    <w:rsid w:val="006B18D3"/>
    <w:rsid w:val="006B2987"/>
    <w:rsid w:val="006B29F2"/>
    <w:rsid w:val="006B2B5D"/>
    <w:rsid w:val="006B2E71"/>
    <w:rsid w:val="006B3E65"/>
    <w:rsid w:val="006B451A"/>
    <w:rsid w:val="006B45BD"/>
    <w:rsid w:val="006B4B38"/>
    <w:rsid w:val="006B50C6"/>
    <w:rsid w:val="006B555A"/>
    <w:rsid w:val="006B67AF"/>
    <w:rsid w:val="006B68BF"/>
    <w:rsid w:val="006B6DBE"/>
    <w:rsid w:val="006B70B9"/>
    <w:rsid w:val="006B76A7"/>
    <w:rsid w:val="006B7870"/>
    <w:rsid w:val="006B7A37"/>
    <w:rsid w:val="006B7C37"/>
    <w:rsid w:val="006B7EF9"/>
    <w:rsid w:val="006B7F43"/>
    <w:rsid w:val="006C0183"/>
    <w:rsid w:val="006C045D"/>
    <w:rsid w:val="006C122B"/>
    <w:rsid w:val="006C1D69"/>
    <w:rsid w:val="006C1D8A"/>
    <w:rsid w:val="006C2789"/>
    <w:rsid w:val="006C2FC8"/>
    <w:rsid w:val="006C3268"/>
    <w:rsid w:val="006C3312"/>
    <w:rsid w:val="006C355C"/>
    <w:rsid w:val="006C394A"/>
    <w:rsid w:val="006C3BB0"/>
    <w:rsid w:val="006C3BE2"/>
    <w:rsid w:val="006C42C2"/>
    <w:rsid w:val="006C4617"/>
    <w:rsid w:val="006C48DD"/>
    <w:rsid w:val="006C4D21"/>
    <w:rsid w:val="006C4FEA"/>
    <w:rsid w:val="006C56CA"/>
    <w:rsid w:val="006C57E0"/>
    <w:rsid w:val="006C5E47"/>
    <w:rsid w:val="006C6995"/>
    <w:rsid w:val="006C6ACB"/>
    <w:rsid w:val="006C6D1A"/>
    <w:rsid w:val="006C6F05"/>
    <w:rsid w:val="006C716F"/>
    <w:rsid w:val="006C7636"/>
    <w:rsid w:val="006C7B93"/>
    <w:rsid w:val="006D00BA"/>
    <w:rsid w:val="006D021B"/>
    <w:rsid w:val="006D0274"/>
    <w:rsid w:val="006D0697"/>
    <w:rsid w:val="006D18FB"/>
    <w:rsid w:val="006D223C"/>
    <w:rsid w:val="006D29DC"/>
    <w:rsid w:val="006D3D46"/>
    <w:rsid w:val="006D4191"/>
    <w:rsid w:val="006D41B1"/>
    <w:rsid w:val="006D422C"/>
    <w:rsid w:val="006D42AC"/>
    <w:rsid w:val="006D4A2E"/>
    <w:rsid w:val="006D5029"/>
    <w:rsid w:val="006D50AC"/>
    <w:rsid w:val="006D51CD"/>
    <w:rsid w:val="006D525B"/>
    <w:rsid w:val="006D582C"/>
    <w:rsid w:val="006D5864"/>
    <w:rsid w:val="006D5C82"/>
    <w:rsid w:val="006D5DED"/>
    <w:rsid w:val="006D600E"/>
    <w:rsid w:val="006D6215"/>
    <w:rsid w:val="006D67D0"/>
    <w:rsid w:val="006D6D93"/>
    <w:rsid w:val="006D72EB"/>
    <w:rsid w:val="006D73B7"/>
    <w:rsid w:val="006D7819"/>
    <w:rsid w:val="006D7879"/>
    <w:rsid w:val="006D7B97"/>
    <w:rsid w:val="006D7FDE"/>
    <w:rsid w:val="006E0438"/>
    <w:rsid w:val="006E05B9"/>
    <w:rsid w:val="006E07E6"/>
    <w:rsid w:val="006E0803"/>
    <w:rsid w:val="006E1107"/>
    <w:rsid w:val="006E131C"/>
    <w:rsid w:val="006E1362"/>
    <w:rsid w:val="006E2502"/>
    <w:rsid w:val="006E2812"/>
    <w:rsid w:val="006E2A8C"/>
    <w:rsid w:val="006E335F"/>
    <w:rsid w:val="006E336F"/>
    <w:rsid w:val="006E33E3"/>
    <w:rsid w:val="006E37D2"/>
    <w:rsid w:val="006E3806"/>
    <w:rsid w:val="006E39F7"/>
    <w:rsid w:val="006E4398"/>
    <w:rsid w:val="006E4669"/>
    <w:rsid w:val="006E4B70"/>
    <w:rsid w:val="006E4F12"/>
    <w:rsid w:val="006E5583"/>
    <w:rsid w:val="006E5C89"/>
    <w:rsid w:val="006E5CFA"/>
    <w:rsid w:val="006E5E6E"/>
    <w:rsid w:val="006E631F"/>
    <w:rsid w:val="006E6A07"/>
    <w:rsid w:val="006E6F6C"/>
    <w:rsid w:val="006E7369"/>
    <w:rsid w:val="006E788F"/>
    <w:rsid w:val="006E7A91"/>
    <w:rsid w:val="006E7E42"/>
    <w:rsid w:val="006F0511"/>
    <w:rsid w:val="006F058F"/>
    <w:rsid w:val="006F283F"/>
    <w:rsid w:val="006F2C01"/>
    <w:rsid w:val="006F2FA8"/>
    <w:rsid w:val="006F3289"/>
    <w:rsid w:val="006F34D7"/>
    <w:rsid w:val="006F39E0"/>
    <w:rsid w:val="006F3DC7"/>
    <w:rsid w:val="006F3EB8"/>
    <w:rsid w:val="006F4312"/>
    <w:rsid w:val="006F46D1"/>
    <w:rsid w:val="006F4706"/>
    <w:rsid w:val="006F4D58"/>
    <w:rsid w:val="006F4E06"/>
    <w:rsid w:val="006F58BF"/>
    <w:rsid w:val="006F5D45"/>
    <w:rsid w:val="006F61C8"/>
    <w:rsid w:val="006F6644"/>
    <w:rsid w:val="006F674F"/>
    <w:rsid w:val="006F69C9"/>
    <w:rsid w:val="006F6F8C"/>
    <w:rsid w:val="006F70E7"/>
    <w:rsid w:val="007007B3"/>
    <w:rsid w:val="007008D3"/>
    <w:rsid w:val="0070096C"/>
    <w:rsid w:val="007009DB"/>
    <w:rsid w:val="007011F3"/>
    <w:rsid w:val="00701A4F"/>
    <w:rsid w:val="00702308"/>
    <w:rsid w:val="007023CC"/>
    <w:rsid w:val="007025CD"/>
    <w:rsid w:val="007029E1"/>
    <w:rsid w:val="00703077"/>
    <w:rsid w:val="00703168"/>
    <w:rsid w:val="00703260"/>
    <w:rsid w:val="00703498"/>
    <w:rsid w:val="00703C16"/>
    <w:rsid w:val="0070413C"/>
    <w:rsid w:val="0070437A"/>
    <w:rsid w:val="00704556"/>
    <w:rsid w:val="00704D37"/>
    <w:rsid w:val="00705B5B"/>
    <w:rsid w:val="00705DE8"/>
    <w:rsid w:val="00705DEB"/>
    <w:rsid w:val="007063E6"/>
    <w:rsid w:val="00706413"/>
    <w:rsid w:val="007067A6"/>
    <w:rsid w:val="00706CD3"/>
    <w:rsid w:val="00706E8D"/>
    <w:rsid w:val="00707064"/>
    <w:rsid w:val="0070748A"/>
    <w:rsid w:val="007074CD"/>
    <w:rsid w:val="0070763D"/>
    <w:rsid w:val="00707AF5"/>
    <w:rsid w:val="00707FB4"/>
    <w:rsid w:val="007101DB"/>
    <w:rsid w:val="007108D8"/>
    <w:rsid w:val="00712745"/>
    <w:rsid w:val="00713B7F"/>
    <w:rsid w:val="00713EE0"/>
    <w:rsid w:val="0071449C"/>
    <w:rsid w:val="007146F4"/>
    <w:rsid w:val="0071484A"/>
    <w:rsid w:val="00714C5B"/>
    <w:rsid w:val="00714CE2"/>
    <w:rsid w:val="00715AF6"/>
    <w:rsid w:val="00715E64"/>
    <w:rsid w:val="00716031"/>
    <w:rsid w:val="00716C98"/>
    <w:rsid w:val="00716D5A"/>
    <w:rsid w:val="00717164"/>
    <w:rsid w:val="00717271"/>
    <w:rsid w:val="007172D3"/>
    <w:rsid w:val="00720010"/>
    <w:rsid w:val="007205FA"/>
    <w:rsid w:val="007206AC"/>
    <w:rsid w:val="0072074D"/>
    <w:rsid w:val="00720BE6"/>
    <w:rsid w:val="00721037"/>
    <w:rsid w:val="0072103F"/>
    <w:rsid w:val="00722533"/>
    <w:rsid w:val="00722680"/>
    <w:rsid w:val="00722808"/>
    <w:rsid w:val="00722BDF"/>
    <w:rsid w:val="0072402F"/>
    <w:rsid w:val="007252E9"/>
    <w:rsid w:val="007258A9"/>
    <w:rsid w:val="0072674B"/>
    <w:rsid w:val="007269FD"/>
    <w:rsid w:val="00727AED"/>
    <w:rsid w:val="007300E9"/>
    <w:rsid w:val="007303E7"/>
    <w:rsid w:val="00730B25"/>
    <w:rsid w:val="00731D05"/>
    <w:rsid w:val="00731E97"/>
    <w:rsid w:val="00732885"/>
    <w:rsid w:val="00732D21"/>
    <w:rsid w:val="00733020"/>
    <w:rsid w:val="007333B9"/>
    <w:rsid w:val="00733C79"/>
    <w:rsid w:val="00733CA0"/>
    <w:rsid w:val="00734336"/>
    <w:rsid w:val="00734589"/>
    <w:rsid w:val="007348F0"/>
    <w:rsid w:val="00735830"/>
    <w:rsid w:val="007362E1"/>
    <w:rsid w:val="00736571"/>
    <w:rsid w:val="0073667D"/>
    <w:rsid w:val="00736AFC"/>
    <w:rsid w:val="007375C0"/>
    <w:rsid w:val="00737F75"/>
    <w:rsid w:val="00737F89"/>
    <w:rsid w:val="0074052C"/>
    <w:rsid w:val="007405BD"/>
    <w:rsid w:val="007406A7"/>
    <w:rsid w:val="00740975"/>
    <w:rsid w:val="00740A07"/>
    <w:rsid w:val="00740A71"/>
    <w:rsid w:val="00740B6D"/>
    <w:rsid w:val="00741306"/>
    <w:rsid w:val="0074131B"/>
    <w:rsid w:val="007413C6"/>
    <w:rsid w:val="0074140C"/>
    <w:rsid w:val="00741AC3"/>
    <w:rsid w:val="00741E05"/>
    <w:rsid w:val="00741F3B"/>
    <w:rsid w:val="00742020"/>
    <w:rsid w:val="0074254A"/>
    <w:rsid w:val="007428C2"/>
    <w:rsid w:val="00742A6E"/>
    <w:rsid w:val="00742AA0"/>
    <w:rsid w:val="007431E6"/>
    <w:rsid w:val="0074333A"/>
    <w:rsid w:val="00743730"/>
    <w:rsid w:val="007437FB"/>
    <w:rsid w:val="007439CD"/>
    <w:rsid w:val="00744009"/>
    <w:rsid w:val="00744924"/>
    <w:rsid w:val="00744CEF"/>
    <w:rsid w:val="00745561"/>
    <w:rsid w:val="0074562E"/>
    <w:rsid w:val="00745795"/>
    <w:rsid w:val="00745953"/>
    <w:rsid w:val="00745B2E"/>
    <w:rsid w:val="00745D57"/>
    <w:rsid w:val="00746105"/>
    <w:rsid w:val="00746309"/>
    <w:rsid w:val="00746638"/>
    <w:rsid w:val="00746755"/>
    <w:rsid w:val="00746C7A"/>
    <w:rsid w:val="007470D4"/>
    <w:rsid w:val="007478DA"/>
    <w:rsid w:val="00747BBE"/>
    <w:rsid w:val="00747BFA"/>
    <w:rsid w:val="0075023E"/>
    <w:rsid w:val="0075037C"/>
    <w:rsid w:val="00750693"/>
    <w:rsid w:val="007508D9"/>
    <w:rsid w:val="007508FB"/>
    <w:rsid w:val="00750E46"/>
    <w:rsid w:val="00751F5F"/>
    <w:rsid w:val="007524CA"/>
    <w:rsid w:val="007526A6"/>
    <w:rsid w:val="007527FE"/>
    <w:rsid w:val="00752C72"/>
    <w:rsid w:val="00753725"/>
    <w:rsid w:val="00753F04"/>
    <w:rsid w:val="00754384"/>
    <w:rsid w:val="00754953"/>
    <w:rsid w:val="00754E46"/>
    <w:rsid w:val="007552E6"/>
    <w:rsid w:val="007555CC"/>
    <w:rsid w:val="00755781"/>
    <w:rsid w:val="00755BCF"/>
    <w:rsid w:val="00755C50"/>
    <w:rsid w:val="00755F86"/>
    <w:rsid w:val="007569F2"/>
    <w:rsid w:val="00756F0A"/>
    <w:rsid w:val="00757048"/>
    <w:rsid w:val="00757180"/>
    <w:rsid w:val="00757AE8"/>
    <w:rsid w:val="00760100"/>
    <w:rsid w:val="007604DA"/>
    <w:rsid w:val="0076072B"/>
    <w:rsid w:val="007609DC"/>
    <w:rsid w:val="00760C6D"/>
    <w:rsid w:val="00761927"/>
    <w:rsid w:val="00761BF2"/>
    <w:rsid w:val="00761DD4"/>
    <w:rsid w:val="007621A5"/>
    <w:rsid w:val="007622A2"/>
    <w:rsid w:val="007626A4"/>
    <w:rsid w:val="007630D0"/>
    <w:rsid w:val="00763240"/>
    <w:rsid w:val="007634FC"/>
    <w:rsid w:val="00763792"/>
    <w:rsid w:val="007637A3"/>
    <w:rsid w:val="00763C29"/>
    <w:rsid w:val="00763CA8"/>
    <w:rsid w:val="007641F0"/>
    <w:rsid w:val="0076477A"/>
    <w:rsid w:val="00764BC6"/>
    <w:rsid w:val="00764D2E"/>
    <w:rsid w:val="007654D7"/>
    <w:rsid w:val="00765A58"/>
    <w:rsid w:val="00765ECC"/>
    <w:rsid w:val="007662EE"/>
    <w:rsid w:val="00766AFE"/>
    <w:rsid w:val="007674DC"/>
    <w:rsid w:val="00767A04"/>
    <w:rsid w:val="00767F17"/>
    <w:rsid w:val="00767F72"/>
    <w:rsid w:val="00770BE7"/>
    <w:rsid w:val="00771281"/>
    <w:rsid w:val="0077147F"/>
    <w:rsid w:val="00771B7D"/>
    <w:rsid w:val="007726C3"/>
    <w:rsid w:val="007726F1"/>
    <w:rsid w:val="00773D1B"/>
    <w:rsid w:val="00773DC1"/>
    <w:rsid w:val="00774348"/>
    <w:rsid w:val="007743DA"/>
    <w:rsid w:val="00774E49"/>
    <w:rsid w:val="00774E81"/>
    <w:rsid w:val="007758A5"/>
    <w:rsid w:val="00775E65"/>
    <w:rsid w:val="00776181"/>
    <w:rsid w:val="00776CE0"/>
    <w:rsid w:val="00777024"/>
    <w:rsid w:val="00777138"/>
    <w:rsid w:val="00777438"/>
    <w:rsid w:val="007777BB"/>
    <w:rsid w:val="00777DA3"/>
    <w:rsid w:val="00777E43"/>
    <w:rsid w:val="00777FE9"/>
    <w:rsid w:val="007807CA"/>
    <w:rsid w:val="00780EC7"/>
    <w:rsid w:val="0078140F"/>
    <w:rsid w:val="00781EBA"/>
    <w:rsid w:val="00781F0F"/>
    <w:rsid w:val="007821AC"/>
    <w:rsid w:val="00782D19"/>
    <w:rsid w:val="00782DC1"/>
    <w:rsid w:val="0078348E"/>
    <w:rsid w:val="007835D9"/>
    <w:rsid w:val="00783623"/>
    <w:rsid w:val="00783F3D"/>
    <w:rsid w:val="00784ADC"/>
    <w:rsid w:val="00785AFA"/>
    <w:rsid w:val="00785B0B"/>
    <w:rsid w:val="00785E39"/>
    <w:rsid w:val="00786083"/>
    <w:rsid w:val="00786266"/>
    <w:rsid w:val="00786913"/>
    <w:rsid w:val="00786953"/>
    <w:rsid w:val="007869A3"/>
    <w:rsid w:val="00787F9D"/>
    <w:rsid w:val="00787FC4"/>
    <w:rsid w:val="00790132"/>
    <w:rsid w:val="00790BDC"/>
    <w:rsid w:val="00791492"/>
    <w:rsid w:val="00791AD4"/>
    <w:rsid w:val="00791D55"/>
    <w:rsid w:val="00792079"/>
    <w:rsid w:val="00792237"/>
    <w:rsid w:val="0079278A"/>
    <w:rsid w:val="0079298F"/>
    <w:rsid w:val="00792B2F"/>
    <w:rsid w:val="007930C1"/>
    <w:rsid w:val="007931DE"/>
    <w:rsid w:val="007933C5"/>
    <w:rsid w:val="00793711"/>
    <w:rsid w:val="0079388F"/>
    <w:rsid w:val="00793D27"/>
    <w:rsid w:val="00795516"/>
    <w:rsid w:val="00795731"/>
    <w:rsid w:val="00795751"/>
    <w:rsid w:val="00795C8E"/>
    <w:rsid w:val="00796375"/>
    <w:rsid w:val="007963E4"/>
    <w:rsid w:val="00796FCC"/>
    <w:rsid w:val="00797AFC"/>
    <w:rsid w:val="00797FE4"/>
    <w:rsid w:val="007A004B"/>
    <w:rsid w:val="007A010F"/>
    <w:rsid w:val="007A0133"/>
    <w:rsid w:val="007A0238"/>
    <w:rsid w:val="007A0894"/>
    <w:rsid w:val="007A0F79"/>
    <w:rsid w:val="007A1C4E"/>
    <w:rsid w:val="007A1CBB"/>
    <w:rsid w:val="007A1DCE"/>
    <w:rsid w:val="007A21CF"/>
    <w:rsid w:val="007A2C37"/>
    <w:rsid w:val="007A322A"/>
    <w:rsid w:val="007A4586"/>
    <w:rsid w:val="007A4986"/>
    <w:rsid w:val="007A4C07"/>
    <w:rsid w:val="007A525C"/>
    <w:rsid w:val="007A55B9"/>
    <w:rsid w:val="007A5DBF"/>
    <w:rsid w:val="007A67C7"/>
    <w:rsid w:val="007A6B35"/>
    <w:rsid w:val="007A6B57"/>
    <w:rsid w:val="007A73BC"/>
    <w:rsid w:val="007A799C"/>
    <w:rsid w:val="007A7A4F"/>
    <w:rsid w:val="007B0017"/>
    <w:rsid w:val="007B045B"/>
    <w:rsid w:val="007B07AB"/>
    <w:rsid w:val="007B0EC7"/>
    <w:rsid w:val="007B0F3F"/>
    <w:rsid w:val="007B163C"/>
    <w:rsid w:val="007B17DE"/>
    <w:rsid w:val="007B1B55"/>
    <w:rsid w:val="007B1D59"/>
    <w:rsid w:val="007B1F43"/>
    <w:rsid w:val="007B2485"/>
    <w:rsid w:val="007B2946"/>
    <w:rsid w:val="007B30CD"/>
    <w:rsid w:val="007B31D5"/>
    <w:rsid w:val="007B3D0C"/>
    <w:rsid w:val="007B3ED0"/>
    <w:rsid w:val="007B43E0"/>
    <w:rsid w:val="007B47D5"/>
    <w:rsid w:val="007B4C35"/>
    <w:rsid w:val="007B4C42"/>
    <w:rsid w:val="007B4DA9"/>
    <w:rsid w:val="007B5222"/>
    <w:rsid w:val="007B544F"/>
    <w:rsid w:val="007B54A6"/>
    <w:rsid w:val="007B745D"/>
    <w:rsid w:val="007B759D"/>
    <w:rsid w:val="007C05B2"/>
    <w:rsid w:val="007C0857"/>
    <w:rsid w:val="007C0E38"/>
    <w:rsid w:val="007C0EC4"/>
    <w:rsid w:val="007C23A2"/>
    <w:rsid w:val="007C23D3"/>
    <w:rsid w:val="007C254C"/>
    <w:rsid w:val="007C274D"/>
    <w:rsid w:val="007C27FB"/>
    <w:rsid w:val="007C2ACC"/>
    <w:rsid w:val="007C2EAC"/>
    <w:rsid w:val="007C2EE8"/>
    <w:rsid w:val="007C3283"/>
    <w:rsid w:val="007C3FC3"/>
    <w:rsid w:val="007C4871"/>
    <w:rsid w:val="007C55F2"/>
    <w:rsid w:val="007C55FE"/>
    <w:rsid w:val="007C5A8C"/>
    <w:rsid w:val="007C5DA4"/>
    <w:rsid w:val="007C5FA4"/>
    <w:rsid w:val="007C622A"/>
    <w:rsid w:val="007C67CF"/>
    <w:rsid w:val="007C69DB"/>
    <w:rsid w:val="007C6C8A"/>
    <w:rsid w:val="007C71A3"/>
    <w:rsid w:val="007D00A7"/>
    <w:rsid w:val="007D0A6F"/>
    <w:rsid w:val="007D0E37"/>
    <w:rsid w:val="007D1380"/>
    <w:rsid w:val="007D1F71"/>
    <w:rsid w:val="007D21BE"/>
    <w:rsid w:val="007D2425"/>
    <w:rsid w:val="007D2C54"/>
    <w:rsid w:val="007D3111"/>
    <w:rsid w:val="007D3FD5"/>
    <w:rsid w:val="007D41CC"/>
    <w:rsid w:val="007D47AA"/>
    <w:rsid w:val="007D4D89"/>
    <w:rsid w:val="007D4DCB"/>
    <w:rsid w:val="007D5091"/>
    <w:rsid w:val="007D5310"/>
    <w:rsid w:val="007D5596"/>
    <w:rsid w:val="007D5ADA"/>
    <w:rsid w:val="007D5B0F"/>
    <w:rsid w:val="007D65D7"/>
    <w:rsid w:val="007D6708"/>
    <w:rsid w:val="007D7866"/>
    <w:rsid w:val="007E09AA"/>
    <w:rsid w:val="007E0B4E"/>
    <w:rsid w:val="007E10B9"/>
    <w:rsid w:val="007E180E"/>
    <w:rsid w:val="007E1D5B"/>
    <w:rsid w:val="007E20DD"/>
    <w:rsid w:val="007E2BC8"/>
    <w:rsid w:val="007E2C27"/>
    <w:rsid w:val="007E2F13"/>
    <w:rsid w:val="007E3D7A"/>
    <w:rsid w:val="007E41DB"/>
    <w:rsid w:val="007E52B7"/>
    <w:rsid w:val="007E5622"/>
    <w:rsid w:val="007E58EF"/>
    <w:rsid w:val="007E5D8C"/>
    <w:rsid w:val="007E6970"/>
    <w:rsid w:val="007E6F97"/>
    <w:rsid w:val="007E7025"/>
    <w:rsid w:val="007E74D1"/>
    <w:rsid w:val="007E7E92"/>
    <w:rsid w:val="007F01AB"/>
    <w:rsid w:val="007F051E"/>
    <w:rsid w:val="007F0E4A"/>
    <w:rsid w:val="007F1150"/>
    <w:rsid w:val="007F1E32"/>
    <w:rsid w:val="007F3242"/>
    <w:rsid w:val="007F356E"/>
    <w:rsid w:val="007F3D81"/>
    <w:rsid w:val="007F4CF5"/>
    <w:rsid w:val="007F54CA"/>
    <w:rsid w:val="007F5B81"/>
    <w:rsid w:val="007F5CA7"/>
    <w:rsid w:val="007F5F35"/>
    <w:rsid w:val="007F6015"/>
    <w:rsid w:val="007F680A"/>
    <w:rsid w:val="007F6810"/>
    <w:rsid w:val="007F6987"/>
    <w:rsid w:val="007F6E4D"/>
    <w:rsid w:val="007F744B"/>
    <w:rsid w:val="00800671"/>
    <w:rsid w:val="0080134E"/>
    <w:rsid w:val="008022D8"/>
    <w:rsid w:val="0080267E"/>
    <w:rsid w:val="0080352E"/>
    <w:rsid w:val="00803D21"/>
    <w:rsid w:val="008040BC"/>
    <w:rsid w:val="008041D8"/>
    <w:rsid w:val="00804451"/>
    <w:rsid w:val="00804669"/>
    <w:rsid w:val="00804C5D"/>
    <w:rsid w:val="0080547F"/>
    <w:rsid w:val="008055E0"/>
    <w:rsid w:val="00805A5A"/>
    <w:rsid w:val="00805CE2"/>
    <w:rsid w:val="00806636"/>
    <w:rsid w:val="00806684"/>
    <w:rsid w:val="00807387"/>
    <w:rsid w:val="00807892"/>
    <w:rsid w:val="0081054B"/>
    <w:rsid w:val="00810B5C"/>
    <w:rsid w:val="00810DB6"/>
    <w:rsid w:val="00810F69"/>
    <w:rsid w:val="00811180"/>
    <w:rsid w:val="00811328"/>
    <w:rsid w:val="008116D0"/>
    <w:rsid w:val="00811B91"/>
    <w:rsid w:val="00812815"/>
    <w:rsid w:val="00812CA1"/>
    <w:rsid w:val="00812E0C"/>
    <w:rsid w:val="00812E90"/>
    <w:rsid w:val="00812EAB"/>
    <w:rsid w:val="00813779"/>
    <w:rsid w:val="00813EEB"/>
    <w:rsid w:val="008141F9"/>
    <w:rsid w:val="008143ED"/>
    <w:rsid w:val="00814FBE"/>
    <w:rsid w:val="00815276"/>
    <w:rsid w:val="00815725"/>
    <w:rsid w:val="00816356"/>
    <w:rsid w:val="00816876"/>
    <w:rsid w:val="00816C6E"/>
    <w:rsid w:val="008201D0"/>
    <w:rsid w:val="00820433"/>
    <w:rsid w:val="00820B53"/>
    <w:rsid w:val="0082158E"/>
    <w:rsid w:val="008216B5"/>
    <w:rsid w:val="0082315F"/>
    <w:rsid w:val="00823F3F"/>
    <w:rsid w:val="008246F5"/>
    <w:rsid w:val="0082476A"/>
    <w:rsid w:val="0082476C"/>
    <w:rsid w:val="0082504A"/>
    <w:rsid w:val="00825317"/>
    <w:rsid w:val="00825387"/>
    <w:rsid w:val="008253B1"/>
    <w:rsid w:val="0082573E"/>
    <w:rsid w:val="008258F0"/>
    <w:rsid w:val="00825C6D"/>
    <w:rsid w:val="00825E91"/>
    <w:rsid w:val="008262D7"/>
    <w:rsid w:val="0082645E"/>
    <w:rsid w:val="00826614"/>
    <w:rsid w:val="008270BC"/>
    <w:rsid w:val="0082793B"/>
    <w:rsid w:val="00827DE1"/>
    <w:rsid w:val="008305D8"/>
    <w:rsid w:val="00830604"/>
    <w:rsid w:val="00830CCF"/>
    <w:rsid w:val="00830EB6"/>
    <w:rsid w:val="0083101E"/>
    <w:rsid w:val="008318E8"/>
    <w:rsid w:val="00831D77"/>
    <w:rsid w:val="008334EE"/>
    <w:rsid w:val="008335C2"/>
    <w:rsid w:val="008335D0"/>
    <w:rsid w:val="00833CA8"/>
    <w:rsid w:val="00834289"/>
    <w:rsid w:val="00834AB1"/>
    <w:rsid w:val="00834B1A"/>
    <w:rsid w:val="008350F8"/>
    <w:rsid w:val="0083532D"/>
    <w:rsid w:val="0083533F"/>
    <w:rsid w:val="00835702"/>
    <w:rsid w:val="0083598A"/>
    <w:rsid w:val="00835A61"/>
    <w:rsid w:val="008361BA"/>
    <w:rsid w:val="00836909"/>
    <w:rsid w:val="00836E51"/>
    <w:rsid w:val="008372C3"/>
    <w:rsid w:val="008374AC"/>
    <w:rsid w:val="00837668"/>
    <w:rsid w:val="008377BA"/>
    <w:rsid w:val="00837C2A"/>
    <w:rsid w:val="0084009C"/>
    <w:rsid w:val="008403D8"/>
    <w:rsid w:val="00840EE2"/>
    <w:rsid w:val="0084151D"/>
    <w:rsid w:val="008418DE"/>
    <w:rsid w:val="00841C88"/>
    <w:rsid w:val="0084251F"/>
    <w:rsid w:val="00842C07"/>
    <w:rsid w:val="00842D5E"/>
    <w:rsid w:val="00842D67"/>
    <w:rsid w:val="00843483"/>
    <w:rsid w:val="00843545"/>
    <w:rsid w:val="00843892"/>
    <w:rsid w:val="0084398E"/>
    <w:rsid w:val="00843C2B"/>
    <w:rsid w:val="00843F38"/>
    <w:rsid w:val="0084400F"/>
    <w:rsid w:val="00844A73"/>
    <w:rsid w:val="00844A7F"/>
    <w:rsid w:val="0084508A"/>
    <w:rsid w:val="008456C6"/>
    <w:rsid w:val="008459BF"/>
    <w:rsid w:val="00845DAC"/>
    <w:rsid w:val="0084633C"/>
    <w:rsid w:val="0084668D"/>
    <w:rsid w:val="00846EAA"/>
    <w:rsid w:val="00847013"/>
    <w:rsid w:val="00847431"/>
    <w:rsid w:val="00847E14"/>
    <w:rsid w:val="00847F3A"/>
    <w:rsid w:val="00850000"/>
    <w:rsid w:val="00850297"/>
    <w:rsid w:val="008502F6"/>
    <w:rsid w:val="00850459"/>
    <w:rsid w:val="00851B42"/>
    <w:rsid w:val="008522C5"/>
    <w:rsid w:val="008527EC"/>
    <w:rsid w:val="00852AE1"/>
    <w:rsid w:val="00852B8D"/>
    <w:rsid w:val="00853153"/>
    <w:rsid w:val="0085363F"/>
    <w:rsid w:val="00853785"/>
    <w:rsid w:val="00854279"/>
    <w:rsid w:val="00854844"/>
    <w:rsid w:val="00854BFB"/>
    <w:rsid w:val="00854C6C"/>
    <w:rsid w:val="00854DC1"/>
    <w:rsid w:val="00855124"/>
    <w:rsid w:val="008553D1"/>
    <w:rsid w:val="00855414"/>
    <w:rsid w:val="008556B7"/>
    <w:rsid w:val="008556C5"/>
    <w:rsid w:val="00855732"/>
    <w:rsid w:val="00855786"/>
    <w:rsid w:val="00855E0D"/>
    <w:rsid w:val="00855FB2"/>
    <w:rsid w:val="008564EC"/>
    <w:rsid w:val="008565F8"/>
    <w:rsid w:val="0085660A"/>
    <w:rsid w:val="008570EA"/>
    <w:rsid w:val="008575D7"/>
    <w:rsid w:val="00860104"/>
    <w:rsid w:val="0086060C"/>
    <w:rsid w:val="00861188"/>
    <w:rsid w:val="00861712"/>
    <w:rsid w:val="00861C32"/>
    <w:rsid w:val="00861F13"/>
    <w:rsid w:val="00862363"/>
    <w:rsid w:val="0086284F"/>
    <w:rsid w:val="00862C02"/>
    <w:rsid w:val="008632F4"/>
    <w:rsid w:val="00863931"/>
    <w:rsid w:val="00863E6F"/>
    <w:rsid w:val="00864AE3"/>
    <w:rsid w:val="0086552B"/>
    <w:rsid w:val="00865D05"/>
    <w:rsid w:val="008663AD"/>
    <w:rsid w:val="00866549"/>
    <w:rsid w:val="00866DE7"/>
    <w:rsid w:val="00866E6D"/>
    <w:rsid w:val="008677A2"/>
    <w:rsid w:val="008677C5"/>
    <w:rsid w:val="00870F50"/>
    <w:rsid w:val="00871373"/>
    <w:rsid w:val="00871DF4"/>
    <w:rsid w:val="0087203D"/>
    <w:rsid w:val="008733C6"/>
    <w:rsid w:val="008734F4"/>
    <w:rsid w:val="0087367A"/>
    <w:rsid w:val="00873B14"/>
    <w:rsid w:val="00873ED9"/>
    <w:rsid w:val="00874A40"/>
    <w:rsid w:val="00874B17"/>
    <w:rsid w:val="0087523E"/>
    <w:rsid w:val="0087613E"/>
    <w:rsid w:val="00876C76"/>
    <w:rsid w:val="00877203"/>
    <w:rsid w:val="00877A98"/>
    <w:rsid w:val="00877C64"/>
    <w:rsid w:val="008802C6"/>
    <w:rsid w:val="0088036A"/>
    <w:rsid w:val="0088038E"/>
    <w:rsid w:val="00880EB8"/>
    <w:rsid w:val="008812D5"/>
    <w:rsid w:val="0088131C"/>
    <w:rsid w:val="008816A1"/>
    <w:rsid w:val="00881959"/>
    <w:rsid w:val="008819EA"/>
    <w:rsid w:val="0088257F"/>
    <w:rsid w:val="0088270C"/>
    <w:rsid w:val="00882CEC"/>
    <w:rsid w:val="00883045"/>
    <w:rsid w:val="00883A5A"/>
    <w:rsid w:val="0088428D"/>
    <w:rsid w:val="00885355"/>
    <w:rsid w:val="00885533"/>
    <w:rsid w:val="008862B2"/>
    <w:rsid w:val="0088655D"/>
    <w:rsid w:val="00886841"/>
    <w:rsid w:val="00886EE7"/>
    <w:rsid w:val="0088799F"/>
    <w:rsid w:val="008879CC"/>
    <w:rsid w:val="00890134"/>
    <w:rsid w:val="008911BA"/>
    <w:rsid w:val="008913C3"/>
    <w:rsid w:val="00891538"/>
    <w:rsid w:val="00891E26"/>
    <w:rsid w:val="00892004"/>
    <w:rsid w:val="0089216E"/>
    <w:rsid w:val="00892862"/>
    <w:rsid w:val="0089294F"/>
    <w:rsid w:val="00892AE6"/>
    <w:rsid w:val="00893199"/>
    <w:rsid w:val="00893BE8"/>
    <w:rsid w:val="00893CB7"/>
    <w:rsid w:val="00893DE3"/>
    <w:rsid w:val="00893F63"/>
    <w:rsid w:val="00893F90"/>
    <w:rsid w:val="00894765"/>
    <w:rsid w:val="00895011"/>
    <w:rsid w:val="00895299"/>
    <w:rsid w:val="00895A8B"/>
    <w:rsid w:val="00895AC6"/>
    <w:rsid w:val="0089643E"/>
    <w:rsid w:val="00897067"/>
    <w:rsid w:val="008974F6"/>
    <w:rsid w:val="0089775E"/>
    <w:rsid w:val="008A0E37"/>
    <w:rsid w:val="008A0F48"/>
    <w:rsid w:val="008A1B40"/>
    <w:rsid w:val="008A1B71"/>
    <w:rsid w:val="008A1E00"/>
    <w:rsid w:val="008A3195"/>
    <w:rsid w:val="008A332E"/>
    <w:rsid w:val="008A3C4D"/>
    <w:rsid w:val="008A3DBA"/>
    <w:rsid w:val="008A3FFB"/>
    <w:rsid w:val="008A4072"/>
    <w:rsid w:val="008A4143"/>
    <w:rsid w:val="008A422F"/>
    <w:rsid w:val="008A4509"/>
    <w:rsid w:val="008A4F64"/>
    <w:rsid w:val="008A5AD9"/>
    <w:rsid w:val="008A60C5"/>
    <w:rsid w:val="008A62CD"/>
    <w:rsid w:val="008A701F"/>
    <w:rsid w:val="008A7318"/>
    <w:rsid w:val="008A76FB"/>
    <w:rsid w:val="008A7F4A"/>
    <w:rsid w:val="008B03AB"/>
    <w:rsid w:val="008B04A6"/>
    <w:rsid w:val="008B0CB9"/>
    <w:rsid w:val="008B0D6E"/>
    <w:rsid w:val="008B19BF"/>
    <w:rsid w:val="008B1DA0"/>
    <w:rsid w:val="008B208E"/>
    <w:rsid w:val="008B2369"/>
    <w:rsid w:val="008B27DA"/>
    <w:rsid w:val="008B3C7C"/>
    <w:rsid w:val="008B419A"/>
    <w:rsid w:val="008B4221"/>
    <w:rsid w:val="008B4804"/>
    <w:rsid w:val="008B4B18"/>
    <w:rsid w:val="008B534B"/>
    <w:rsid w:val="008B5B68"/>
    <w:rsid w:val="008B60FD"/>
    <w:rsid w:val="008B61CF"/>
    <w:rsid w:val="008B6C22"/>
    <w:rsid w:val="008B71A7"/>
    <w:rsid w:val="008B756F"/>
    <w:rsid w:val="008B78B8"/>
    <w:rsid w:val="008C059A"/>
    <w:rsid w:val="008C0FD4"/>
    <w:rsid w:val="008C1082"/>
    <w:rsid w:val="008C1732"/>
    <w:rsid w:val="008C17D2"/>
    <w:rsid w:val="008C195D"/>
    <w:rsid w:val="008C20F8"/>
    <w:rsid w:val="008C249D"/>
    <w:rsid w:val="008C2C2E"/>
    <w:rsid w:val="008C3021"/>
    <w:rsid w:val="008C33AB"/>
    <w:rsid w:val="008C3CE7"/>
    <w:rsid w:val="008C3CEC"/>
    <w:rsid w:val="008C410E"/>
    <w:rsid w:val="008C4701"/>
    <w:rsid w:val="008C4A79"/>
    <w:rsid w:val="008C4C74"/>
    <w:rsid w:val="008C50C8"/>
    <w:rsid w:val="008C568B"/>
    <w:rsid w:val="008C570D"/>
    <w:rsid w:val="008C59EE"/>
    <w:rsid w:val="008C5F8C"/>
    <w:rsid w:val="008C6183"/>
    <w:rsid w:val="008C6AB6"/>
    <w:rsid w:val="008C6E21"/>
    <w:rsid w:val="008C7042"/>
    <w:rsid w:val="008C7184"/>
    <w:rsid w:val="008C7462"/>
    <w:rsid w:val="008C74E2"/>
    <w:rsid w:val="008C7CBE"/>
    <w:rsid w:val="008C7D9A"/>
    <w:rsid w:val="008D0E53"/>
    <w:rsid w:val="008D0F32"/>
    <w:rsid w:val="008D12D9"/>
    <w:rsid w:val="008D1702"/>
    <w:rsid w:val="008D1705"/>
    <w:rsid w:val="008D18B5"/>
    <w:rsid w:val="008D1CD4"/>
    <w:rsid w:val="008D2A28"/>
    <w:rsid w:val="008D39C8"/>
    <w:rsid w:val="008D3A5C"/>
    <w:rsid w:val="008D4582"/>
    <w:rsid w:val="008D4F47"/>
    <w:rsid w:val="008D5D4D"/>
    <w:rsid w:val="008D5DA7"/>
    <w:rsid w:val="008D5DD0"/>
    <w:rsid w:val="008D6451"/>
    <w:rsid w:val="008D65B8"/>
    <w:rsid w:val="008D683B"/>
    <w:rsid w:val="008D6898"/>
    <w:rsid w:val="008D69E7"/>
    <w:rsid w:val="008D6CAD"/>
    <w:rsid w:val="008D7093"/>
    <w:rsid w:val="008D72BE"/>
    <w:rsid w:val="008D7A7E"/>
    <w:rsid w:val="008E00B8"/>
    <w:rsid w:val="008E06D7"/>
    <w:rsid w:val="008E0898"/>
    <w:rsid w:val="008E0AC7"/>
    <w:rsid w:val="008E100B"/>
    <w:rsid w:val="008E12CF"/>
    <w:rsid w:val="008E15EE"/>
    <w:rsid w:val="008E1D01"/>
    <w:rsid w:val="008E2F0B"/>
    <w:rsid w:val="008E3344"/>
    <w:rsid w:val="008E3880"/>
    <w:rsid w:val="008E4EF2"/>
    <w:rsid w:val="008E532B"/>
    <w:rsid w:val="008E532D"/>
    <w:rsid w:val="008E6155"/>
    <w:rsid w:val="008E6726"/>
    <w:rsid w:val="008E6ACC"/>
    <w:rsid w:val="008E750C"/>
    <w:rsid w:val="008F0244"/>
    <w:rsid w:val="008F047B"/>
    <w:rsid w:val="008F0520"/>
    <w:rsid w:val="008F0A7C"/>
    <w:rsid w:val="008F1644"/>
    <w:rsid w:val="008F1796"/>
    <w:rsid w:val="008F1901"/>
    <w:rsid w:val="008F1F06"/>
    <w:rsid w:val="008F202C"/>
    <w:rsid w:val="008F21BB"/>
    <w:rsid w:val="008F23A9"/>
    <w:rsid w:val="008F268A"/>
    <w:rsid w:val="008F2731"/>
    <w:rsid w:val="008F3359"/>
    <w:rsid w:val="008F3CD8"/>
    <w:rsid w:val="008F469D"/>
    <w:rsid w:val="008F4995"/>
    <w:rsid w:val="008F49C2"/>
    <w:rsid w:val="008F4A24"/>
    <w:rsid w:val="008F4BD9"/>
    <w:rsid w:val="008F5221"/>
    <w:rsid w:val="008F528A"/>
    <w:rsid w:val="008F5B69"/>
    <w:rsid w:val="008F5D12"/>
    <w:rsid w:val="008F6B23"/>
    <w:rsid w:val="008F7558"/>
    <w:rsid w:val="008F7F95"/>
    <w:rsid w:val="0090023F"/>
    <w:rsid w:val="00900454"/>
    <w:rsid w:val="0090084E"/>
    <w:rsid w:val="00900FB9"/>
    <w:rsid w:val="009015B1"/>
    <w:rsid w:val="009026AD"/>
    <w:rsid w:val="00903559"/>
    <w:rsid w:val="009035A8"/>
    <w:rsid w:val="00903B77"/>
    <w:rsid w:val="00903C89"/>
    <w:rsid w:val="009048F1"/>
    <w:rsid w:val="00905F2C"/>
    <w:rsid w:val="00906494"/>
    <w:rsid w:val="00906806"/>
    <w:rsid w:val="0090687C"/>
    <w:rsid w:val="00906CD2"/>
    <w:rsid w:val="00906F74"/>
    <w:rsid w:val="009072D8"/>
    <w:rsid w:val="00907835"/>
    <w:rsid w:val="0090785D"/>
    <w:rsid w:val="00907CC0"/>
    <w:rsid w:val="00910348"/>
    <w:rsid w:val="009105F4"/>
    <w:rsid w:val="009108DB"/>
    <w:rsid w:val="00910B92"/>
    <w:rsid w:val="00911685"/>
    <w:rsid w:val="00911904"/>
    <w:rsid w:val="00911B12"/>
    <w:rsid w:val="00911BEF"/>
    <w:rsid w:val="00911C09"/>
    <w:rsid w:val="00911E97"/>
    <w:rsid w:val="00912198"/>
    <w:rsid w:val="00912224"/>
    <w:rsid w:val="009123E0"/>
    <w:rsid w:val="00912D30"/>
    <w:rsid w:val="00912DFD"/>
    <w:rsid w:val="0091355A"/>
    <w:rsid w:val="00914453"/>
    <w:rsid w:val="00914CD2"/>
    <w:rsid w:val="00914D8E"/>
    <w:rsid w:val="009158CF"/>
    <w:rsid w:val="009161C5"/>
    <w:rsid w:val="009166B3"/>
    <w:rsid w:val="009167BE"/>
    <w:rsid w:val="0091680C"/>
    <w:rsid w:val="00916B9F"/>
    <w:rsid w:val="009178DD"/>
    <w:rsid w:val="009179CA"/>
    <w:rsid w:val="00917C60"/>
    <w:rsid w:val="00917D0C"/>
    <w:rsid w:val="00917E62"/>
    <w:rsid w:val="009202DC"/>
    <w:rsid w:val="009203ED"/>
    <w:rsid w:val="0092085E"/>
    <w:rsid w:val="009209DE"/>
    <w:rsid w:val="00920ABA"/>
    <w:rsid w:val="00921489"/>
    <w:rsid w:val="009216E3"/>
    <w:rsid w:val="009218D7"/>
    <w:rsid w:val="009225D3"/>
    <w:rsid w:val="009226CC"/>
    <w:rsid w:val="00922DE8"/>
    <w:rsid w:val="009233A7"/>
    <w:rsid w:val="009239BB"/>
    <w:rsid w:val="009245C6"/>
    <w:rsid w:val="00924ED1"/>
    <w:rsid w:val="00925102"/>
    <w:rsid w:val="009252BF"/>
    <w:rsid w:val="009257E3"/>
    <w:rsid w:val="00925A02"/>
    <w:rsid w:val="00925C7E"/>
    <w:rsid w:val="0092623E"/>
    <w:rsid w:val="00926B70"/>
    <w:rsid w:val="00926F54"/>
    <w:rsid w:val="0092726E"/>
    <w:rsid w:val="00927966"/>
    <w:rsid w:val="00927CD0"/>
    <w:rsid w:val="009312A5"/>
    <w:rsid w:val="0093180E"/>
    <w:rsid w:val="00931B4F"/>
    <w:rsid w:val="00932173"/>
    <w:rsid w:val="00932A7D"/>
    <w:rsid w:val="00932AAF"/>
    <w:rsid w:val="00932AD6"/>
    <w:rsid w:val="00932B8B"/>
    <w:rsid w:val="00933B0D"/>
    <w:rsid w:val="00933FAE"/>
    <w:rsid w:val="00934AE4"/>
    <w:rsid w:val="009350A1"/>
    <w:rsid w:val="00935354"/>
    <w:rsid w:val="00935396"/>
    <w:rsid w:val="00935B1F"/>
    <w:rsid w:val="00935B59"/>
    <w:rsid w:val="00935DA2"/>
    <w:rsid w:val="00936E55"/>
    <w:rsid w:val="0093784E"/>
    <w:rsid w:val="00937F8A"/>
    <w:rsid w:val="00941690"/>
    <w:rsid w:val="00941896"/>
    <w:rsid w:val="00941BBC"/>
    <w:rsid w:val="0094223C"/>
    <w:rsid w:val="009426C0"/>
    <w:rsid w:val="009432D6"/>
    <w:rsid w:val="00943418"/>
    <w:rsid w:val="00943589"/>
    <w:rsid w:val="00943614"/>
    <w:rsid w:val="00943902"/>
    <w:rsid w:val="00943B83"/>
    <w:rsid w:val="00943C89"/>
    <w:rsid w:val="00943EA7"/>
    <w:rsid w:val="0094449D"/>
    <w:rsid w:val="00944C81"/>
    <w:rsid w:val="00945165"/>
    <w:rsid w:val="00945749"/>
    <w:rsid w:val="00945974"/>
    <w:rsid w:val="00946039"/>
    <w:rsid w:val="0094636B"/>
    <w:rsid w:val="00946AEC"/>
    <w:rsid w:val="00946D34"/>
    <w:rsid w:val="009473EB"/>
    <w:rsid w:val="009475E8"/>
    <w:rsid w:val="00950070"/>
    <w:rsid w:val="00950255"/>
    <w:rsid w:val="00950528"/>
    <w:rsid w:val="00950AE8"/>
    <w:rsid w:val="00951049"/>
    <w:rsid w:val="009520AB"/>
    <w:rsid w:val="00952983"/>
    <w:rsid w:val="00952DC5"/>
    <w:rsid w:val="0095311B"/>
    <w:rsid w:val="00953893"/>
    <w:rsid w:val="009540C7"/>
    <w:rsid w:val="009547C2"/>
    <w:rsid w:val="009548AE"/>
    <w:rsid w:val="00954908"/>
    <w:rsid w:val="00955769"/>
    <w:rsid w:val="00955955"/>
    <w:rsid w:val="00955AB2"/>
    <w:rsid w:val="00955E7E"/>
    <w:rsid w:val="0095664B"/>
    <w:rsid w:val="00956AE8"/>
    <w:rsid w:val="0095735E"/>
    <w:rsid w:val="00957E99"/>
    <w:rsid w:val="0096016E"/>
    <w:rsid w:val="00960444"/>
    <w:rsid w:val="00960C65"/>
    <w:rsid w:val="00960F0A"/>
    <w:rsid w:val="0096101D"/>
    <w:rsid w:val="00961354"/>
    <w:rsid w:val="0096159C"/>
    <w:rsid w:val="0096173E"/>
    <w:rsid w:val="00961950"/>
    <w:rsid w:val="00961F29"/>
    <w:rsid w:val="00962352"/>
    <w:rsid w:val="0096268F"/>
    <w:rsid w:val="009626CD"/>
    <w:rsid w:val="00962ABB"/>
    <w:rsid w:val="009632AB"/>
    <w:rsid w:val="00963B07"/>
    <w:rsid w:val="009640CF"/>
    <w:rsid w:val="00964193"/>
    <w:rsid w:val="009646A7"/>
    <w:rsid w:val="00964BE7"/>
    <w:rsid w:val="009651A5"/>
    <w:rsid w:val="00965D51"/>
    <w:rsid w:val="00966230"/>
    <w:rsid w:val="009666EE"/>
    <w:rsid w:val="0096697C"/>
    <w:rsid w:val="009672ED"/>
    <w:rsid w:val="009676CE"/>
    <w:rsid w:val="00967744"/>
    <w:rsid w:val="0096777E"/>
    <w:rsid w:val="00970206"/>
    <w:rsid w:val="0097022A"/>
    <w:rsid w:val="00970545"/>
    <w:rsid w:val="00970CE9"/>
    <w:rsid w:val="00970DA4"/>
    <w:rsid w:val="00971270"/>
    <w:rsid w:val="00971BE5"/>
    <w:rsid w:val="00971DFC"/>
    <w:rsid w:val="0097306B"/>
    <w:rsid w:val="00973201"/>
    <w:rsid w:val="0097395A"/>
    <w:rsid w:val="00973B76"/>
    <w:rsid w:val="00973EF2"/>
    <w:rsid w:val="009743A0"/>
    <w:rsid w:val="00974C73"/>
    <w:rsid w:val="009752BD"/>
    <w:rsid w:val="009752C0"/>
    <w:rsid w:val="00975DA4"/>
    <w:rsid w:val="00975F5D"/>
    <w:rsid w:val="00975F8C"/>
    <w:rsid w:val="009766E1"/>
    <w:rsid w:val="0097677B"/>
    <w:rsid w:val="0097711A"/>
    <w:rsid w:val="00977565"/>
    <w:rsid w:val="0098043F"/>
    <w:rsid w:val="009805EF"/>
    <w:rsid w:val="00980621"/>
    <w:rsid w:val="009810AD"/>
    <w:rsid w:val="00981A5E"/>
    <w:rsid w:val="00981C29"/>
    <w:rsid w:val="00981D29"/>
    <w:rsid w:val="009831F8"/>
    <w:rsid w:val="009847D6"/>
    <w:rsid w:val="00984C43"/>
    <w:rsid w:val="00984D32"/>
    <w:rsid w:val="00984F28"/>
    <w:rsid w:val="00985B0F"/>
    <w:rsid w:val="00986246"/>
    <w:rsid w:val="009866B6"/>
    <w:rsid w:val="00986EB5"/>
    <w:rsid w:val="00987171"/>
    <w:rsid w:val="00987AFA"/>
    <w:rsid w:val="00987D4C"/>
    <w:rsid w:val="00987EB0"/>
    <w:rsid w:val="0099011C"/>
    <w:rsid w:val="009902BE"/>
    <w:rsid w:val="00990457"/>
    <w:rsid w:val="00990735"/>
    <w:rsid w:val="009907FD"/>
    <w:rsid w:val="009914F3"/>
    <w:rsid w:val="00991A21"/>
    <w:rsid w:val="00991BCB"/>
    <w:rsid w:val="00991ED3"/>
    <w:rsid w:val="0099247A"/>
    <w:rsid w:val="0099257F"/>
    <w:rsid w:val="00992ACF"/>
    <w:rsid w:val="00992B67"/>
    <w:rsid w:val="00992DB0"/>
    <w:rsid w:val="00994384"/>
    <w:rsid w:val="009950F4"/>
    <w:rsid w:val="0099549E"/>
    <w:rsid w:val="0099566C"/>
    <w:rsid w:val="00995687"/>
    <w:rsid w:val="00995DCF"/>
    <w:rsid w:val="009962E3"/>
    <w:rsid w:val="009975AC"/>
    <w:rsid w:val="0099767B"/>
    <w:rsid w:val="00997BFF"/>
    <w:rsid w:val="00997D14"/>
    <w:rsid w:val="009A1018"/>
    <w:rsid w:val="009A132A"/>
    <w:rsid w:val="009A15F6"/>
    <w:rsid w:val="009A1EFF"/>
    <w:rsid w:val="009A2446"/>
    <w:rsid w:val="009A255F"/>
    <w:rsid w:val="009A2618"/>
    <w:rsid w:val="009A270E"/>
    <w:rsid w:val="009A2D47"/>
    <w:rsid w:val="009A3C1E"/>
    <w:rsid w:val="009A3D33"/>
    <w:rsid w:val="009A4265"/>
    <w:rsid w:val="009A4DC4"/>
    <w:rsid w:val="009A512F"/>
    <w:rsid w:val="009A51A1"/>
    <w:rsid w:val="009A58DE"/>
    <w:rsid w:val="009A5A96"/>
    <w:rsid w:val="009A5DA5"/>
    <w:rsid w:val="009A5F5F"/>
    <w:rsid w:val="009A6568"/>
    <w:rsid w:val="009A65EB"/>
    <w:rsid w:val="009A6A37"/>
    <w:rsid w:val="009A7316"/>
    <w:rsid w:val="009A7FB9"/>
    <w:rsid w:val="009B03D1"/>
    <w:rsid w:val="009B0C56"/>
    <w:rsid w:val="009B134C"/>
    <w:rsid w:val="009B1818"/>
    <w:rsid w:val="009B285C"/>
    <w:rsid w:val="009B2CDA"/>
    <w:rsid w:val="009B2E76"/>
    <w:rsid w:val="009B30DF"/>
    <w:rsid w:val="009B3265"/>
    <w:rsid w:val="009B368D"/>
    <w:rsid w:val="009B38D9"/>
    <w:rsid w:val="009B3F05"/>
    <w:rsid w:val="009B4039"/>
    <w:rsid w:val="009B4107"/>
    <w:rsid w:val="009B4785"/>
    <w:rsid w:val="009B51DA"/>
    <w:rsid w:val="009B5644"/>
    <w:rsid w:val="009B5D59"/>
    <w:rsid w:val="009B6219"/>
    <w:rsid w:val="009B6331"/>
    <w:rsid w:val="009B669F"/>
    <w:rsid w:val="009B6B35"/>
    <w:rsid w:val="009B6DB4"/>
    <w:rsid w:val="009B6E16"/>
    <w:rsid w:val="009B7032"/>
    <w:rsid w:val="009B7541"/>
    <w:rsid w:val="009B7D9D"/>
    <w:rsid w:val="009C02D3"/>
    <w:rsid w:val="009C0452"/>
    <w:rsid w:val="009C0B8E"/>
    <w:rsid w:val="009C0EB7"/>
    <w:rsid w:val="009C1022"/>
    <w:rsid w:val="009C150C"/>
    <w:rsid w:val="009C1874"/>
    <w:rsid w:val="009C2713"/>
    <w:rsid w:val="009C379F"/>
    <w:rsid w:val="009C4BD8"/>
    <w:rsid w:val="009C4FE0"/>
    <w:rsid w:val="009C50B9"/>
    <w:rsid w:val="009C52B3"/>
    <w:rsid w:val="009C58E7"/>
    <w:rsid w:val="009C5EEF"/>
    <w:rsid w:val="009C7A46"/>
    <w:rsid w:val="009C7A76"/>
    <w:rsid w:val="009C7C36"/>
    <w:rsid w:val="009D08AD"/>
    <w:rsid w:val="009D11FB"/>
    <w:rsid w:val="009D159B"/>
    <w:rsid w:val="009D19D4"/>
    <w:rsid w:val="009D1AC6"/>
    <w:rsid w:val="009D1B79"/>
    <w:rsid w:val="009D1D5D"/>
    <w:rsid w:val="009D21FE"/>
    <w:rsid w:val="009D2600"/>
    <w:rsid w:val="009D2CA6"/>
    <w:rsid w:val="009D3201"/>
    <w:rsid w:val="009D3727"/>
    <w:rsid w:val="009D385E"/>
    <w:rsid w:val="009D41D0"/>
    <w:rsid w:val="009D4839"/>
    <w:rsid w:val="009D49E4"/>
    <w:rsid w:val="009D4EBC"/>
    <w:rsid w:val="009D522A"/>
    <w:rsid w:val="009D575D"/>
    <w:rsid w:val="009D6147"/>
    <w:rsid w:val="009D629A"/>
    <w:rsid w:val="009D6B7F"/>
    <w:rsid w:val="009D6DAF"/>
    <w:rsid w:val="009D6EEA"/>
    <w:rsid w:val="009D72C3"/>
    <w:rsid w:val="009D7325"/>
    <w:rsid w:val="009D7B57"/>
    <w:rsid w:val="009D7D19"/>
    <w:rsid w:val="009E0039"/>
    <w:rsid w:val="009E03EF"/>
    <w:rsid w:val="009E05B1"/>
    <w:rsid w:val="009E0671"/>
    <w:rsid w:val="009E0CDC"/>
    <w:rsid w:val="009E127A"/>
    <w:rsid w:val="009E1CC1"/>
    <w:rsid w:val="009E272B"/>
    <w:rsid w:val="009E2B4F"/>
    <w:rsid w:val="009E2DC1"/>
    <w:rsid w:val="009E3993"/>
    <w:rsid w:val="009E4502"/>
    <w:rsid w:val="009E4916"/>
    <w:rsid w:val="009E4E0E"/>
    <w:rsid w:val="009E5038"/>
    <w:rsid w:val="009E528E"/>
    <w:rsid w:val="009E54FB"/>
    <w:rsid w:val="009E58A3"/>
    <w:rsid w:val="009E5EC2"/>
    <w:rsid w:val="009E738A"/>
    <w:rsid w:val="009E7E5B"/>
    <w:rsid w:val="009F0401"/>
    <w:rsid w:val="009F06BF"/>
    <w:rsid w:val="009F0834"/>
    <w:rsid w:val="009F09D1"/>
    <w:rsid w:val="009F1311"/>
    <w:rsid w:val="009F1430"/>
    <w:rsid w:val="009F17B3"/>
    <w:rsid w:val="009F20CE"/>
    <w:rsid w:val="009F2251"/>
    <w:rsid w:val="009F231C"/>
    <w:rsid w:val="009F2359"/>
    <w:rsid w:val="009F2971"/>
    <w:rsid w:val="009F29FA"/>
    <w:rsid w:val="009F2C49"/>
    <w:rsid w:val="009F38D4"/>
    <w:rsid w:val="009F3B5F"/>
    <w:rsid w:val="009F3E10"/>
    <w:rsid w:val="009F3F82"/>
    <w:rsid w:val="009F4469"/>
    <w:rsid w:val="009F4FEE"/>
    <w:rsid w:val="009F5949"/>
    <w:rsid w:val="009F5953"/>
    <w:rsid w:val="009F5AE0"/>
    <w:rsid w:val="009F606C"/>
    <w:rsid w:val="009F6D49"/>
    <w:rsid w:val="009F72BD"/>
    <w:rsid w:val="009F745F"/>
    <w:rsid w:val="009F75AA"/>
    <w:rsid w:val="009F7697"/>
    <w:rsid w:val="009F7BAC"/>
    <w:rsid w:val="00A0031C"/>
    <w:rsid w:val="00A004B8"/>
    <w:rsid w:val="00A009FA"/>
    <w:rsid w:val="00A00D2F"/>
    <w:rsid w:val="00A017E5"/>
    <w:rsid w:val="00A01925"/>
    <w:rsid w:val="00A01C3A"/>
    <w:rsid w:val="00A02D80"/>
    <w:rsid w:val="00A02F6C"/>
    <w:rsid w:val="00A03499"/>
    <w:rsid w:val="00A03D9F"/>
    <w:rsid w:val="00A03FC5"/>
    <w:rsid w:val="00A0469D"/>
    <w:rsid w:val="00A05759"/>
    <w:rsid w:val="00A05955"/>
    <w:rsid w:val="00A05B3D"/>
    <w:rsid w:val="00A05E3A"/>
    <w:rsid w:val="00A05EA7"/>
    <w:rsid w:val="00A060E9"/>
    <w:rsid w:val="00A06A61"/>
    <w:rsid w:val="00A06F4E"/>
    <w:rsid w:val="00A072F8"/>
    <w:rsid w:val="00A07476"/>
    <w:rsid w:val="00A074DE"/>
    <w:rsid w:val="00A07680"/>
    <w:rsid w:val="00A07A06"/>
    <w:rsid w:val="00A10D0C"/>
    <w:rsid w:val="00A10F5C"/>
    <w:rsid w:val="00A11653"/>
    <w:rsid w:val="00A11C34"/>
    <w:rsid w:val="00A12077"/>
    <w:rsid w:val="00A121EF"/>
    <w:rsid w:val="00A12647"/>
    <w:rsid w:val="00A12D31"/>
    <w:rsid w:val="00A1356B"/>
    <w:rsid w:val="00A13677"/>
    <w:rsid w:val="00A137DB"/>
    <w:rsid w:val="00A1401D"/>
    <w:rsid w:val="00A14166"/>
    <w:rsid w:val="00A145BE"/>
    <w:rsid w:val="00A148D0"/>
    <w:rsid w:val="00A14977"/>
    <w:rsid w:val="00A14FBC"/>
    <w:rsid w:val="00A1536E"/>
    <w:rsid w:val="00A15AC7"/>
    <w:rsid w:val="00A16465"/>
    <w:rsid w:val="00A16659"/>
    <w:rsid w:val="00A1708F"/>
    <w:rsid w:val="00A176EF"/>
    <w:rsid w:val="00A17CBF"/>
    <w:rsid w:val="00A20B84"/>
    <w:rsid w:val="00A20FA6"/>
    <w:rsid w:val="00A20FF1"/>
    <w:rsid w:val="00A2153B"/>
    <w:rsid w:val="00A21656"/>
    <w:rsid w:val="00A21981"/>
    <w:rsid w:val="00A21B78"/>
    <w:rsid w:val="00A222EF"/>
    <w:rsid w:val="00A2284D"/>
    <w:rsid w:val="00A22EF6"/>
    <w:rsid w:val="00A2326F"/>
    <w:rsid w:val="00A2394B"/>
    <w:rsid w:val="00A23AA5"/>
    <w:rsid w:val="00A23ED3"/>
    <w:rsid w:val="00A24733"/>
    <w:rsid w:val="00A24C07"/>
    <w:rsid w:val="00A24EAA"/>
    <w:rsid w:val="00A250DE"/>
    <w:rsid w:val="00A2513C"/>
    <w:rsid w:val="00A25C31"/>
    <w:rsid w:val="00A25C95"/>
    <w:rsid w:val="00A25E6D"/>
    <w:rsid w:val="00A266C7"/>
    <w:rsid w:val="00A26B3A"/>
    <w:rsid w:val="00A270B3"/>
    <w:rsid w:val="00A27ACE"/>
    <w:rsid w:val="00A27F4C"/>
    <w:rsid w:val="00A30032"/>
    <w:rsid w:val="00A3014D"/>
    <w:rsid w:val="00A30160"/>
    <w:rsid w:val="00A317E5"/>
    <w:rsid w:val="00A320E9"/>
    <w:rsid w:val="00A32682"/>
    <w:rsid w:val="00A32826"/>
    <w:rsid w:val="00A33125"/>
    <w:rsid w:val="00A33671"/>
    <w:rsid w:val="00A3371D"/>
    <w:rsid w:val="00A3447B"/>
    <w:rsid w:val="00A347E9"/>
    <w:rsid w:val="00A34FBA"/>
    <w:rsid w:val="00A3527C"/>
    <w:rsid w:val="00A35900"/>
    <w:rsid w:val="00A35E9B"/>
    <w:rsid w:val="00A36279"/>
    <w:rsid w:val="00A36405"/>
    <w:rsid w:val="00A36B5C"/>
    <w:rsid w:val="00A36CD1"/>
    <w:rsid w:val="00A36D91"/>
    <w:rsid w:val="00A37FB8"/>
    <w:rsid w:val="00A40267"/>
    <w:rsid w:val="00A40EC6"/>
    <w:rsid w:val="00A41165"/>
    <w:rsid w:val="00A412DA"/>
    <w:rsid w:val="00A416CE"/>
    <w:rsid w:val="00A4191F"/>
    <w:rsid w:val="00A41922"/>
    <w:rsid w:val="00A41954"/>
    <w:rsid w:val="00A420A5"/>
    <w:rsid w:val="00A42839"/>
    <w:rsid w:val="00A436B7"/>
    <w:rsid w:val="00A44BDE"/>
    <w:rsid w:val="00A4522B"/>
    <w:rsid w:val="00A45F60"/>
    <w:rsid w:val="00A46C93"/>
    <w:rsid w:val="00A473D9"/>
    <w:rsid w:val="00A50128"/>
    <w:rsid w:val="00A505A1"/>
    <w:rsid w:val="00A508B9"/>
    <w:rsid w:val="00A508F7"/>
    <w:rsid w:val="00A509D6"/>
    <w:rsid w:val="00A50F09"/>
    <w:rsid w:val="00A511ED"/>
    <w:rsid w:val="00A516EB"/>
    <w:rsid w:val="00A5172A"/>
    <w:rsid w:val="00A51B71"/>
    <w:rsid w:val="00A51DB6"/>
    <w:rsid w:val="00A5220B"/>
    <w:rsid w:val="00A5245A"/>
    <w:rsid w:val="00A53299"/>
    <w:rsid w:val="00A53737"/>
    <w:rsid w:val="00A53897"/>
    <w:rsid w:val="00A543CE"/>
    <w:rsid w:val="00A5497D"/>
    <w:rsid w:val="00A54DF9"/>
    <w:rsid w:val="00A54F2A"/>
    <w:rsid w:val="00A550D1"/>
    <w:rsid w:val="00A555FA"/>
    <w:rsid w:val="00A5589D"/>
    <w:rsid w:val="00A5595D"/>
    <w:rsid w:val="00A55F50"/>
    <w:rsid w:val="00A56338"/>
    <w:rsid w:val="00A5652A"/>
    <w:rsid w:val="00A566BC"/>
    <w:rsid w:val="00A56997"/>
    <w:rsid w:val="00A56ABF"/>
    <w:rsid w:val="00A56C30"/>
    <w:rsid w:val="00A57E1C"/>
    <w:rsid w:val="00A603C7"/>
    <w:rsid w:val="00A608DD"/>
    <w:rsid w:val="00A60CF4"/>
    <w:rsid w:val="00A60D08"/>
    <w:rsid w:val="00A61373"/>
    <w:rsid w:val="00A6137C"/>
    <w:rsid w:val="00A624F1"/>
    <w:rsid w:val="00A62B9E"/>
    <w:rsid w:val="00A62F23"/>
    <w:rsid w:val="00A64001"/>
    <w:rsid w:val="00A646D0"/>
    <w:rsid w:val="00A647A5"/>
    <w:rsid w:val="00A651BA"/>
    <w:rsid w:val="00A651DC"/>
    <w:rsid w:val="00A65277"/>
    <w:rsid w:val="00A65454"/>
    <w:rsid w:val="00A655AE"/>
    <w:rsid w:val="00A66137"/>
    <w:rsid w:val="00A66234"/>
    <w:rsid w:val="00A66747"/>
    <w:rsid w:val="00A66AAC"/>
    <w:rsid w:val="00A66CD0"/>
    <w:rsid w:val="00A66EB6"/>
    <w:rsid w:val="00A672F0"/>
    <w:rsid w:val="00A674F0"/>
    <w:rsid w:val="00A676C9"/>
    <w:rsid w:val="00A703BE"/>
    <w:rsid w:val="00A705D7"/>
    <w:rsid w:val="00A71080"/>
    <w:rsid w:val="00A713BC"/>
    <w:rsid w:val="00A7159F"/>
    <w:rsid w:val="00A71880"/>
    <w:rsid w:val="00A71A7F"/>
    <w:rsid w:val="00A72035"/>
    <w:rsid w:val="00A72997"/>
    <w:rsid w:val="00A72A3B"/>
    <w:rsid w:val="00A7306C"/>
    <w:rsid w:val="00A734B4"/>
    <w:rsid w:val="00A74234"/>
    <w:rsid w:val="00A744F1"/>
    <w:rsid w:val="00A74535"/>
    <w:rsid w:val="00A74CAE"/>
    <w:rsid w:val="00A750D5"/>
    <w:rsid w:val="00A756A5"/>
    <w:rsid w:val="00A75826"/>
    <w:rsid w:val="00A766DA"/>
    <w:rsid w:val="00A767E9"/>
    <w:rsid w:val="00A76A44"/>
    <w:rsid w:val="00A76D05"/>
    <w:rsid w:val="00A77254"/>
    <w:rsid w:val="00A775A9"/>
    <w:rsid w:val="00A77DC0"/>
    <w:rsid w:val="00A80BF6"/>
    <w:rsid w:val="00A80F50"/>
    <w:rsid w:val="00A81B4D"/>
    <w:rsid w:val="00A82398"/>
    <w:rsid w:val="00A82425"/>
    <w:rsid w:val="00A82B64"/>
    <w:rsid w:val="00A82D0A"/>
    <w:rsid w:val="00A830C3"/>
    <w:rsid w:val="00A832EC"/>
    <w:rsid w:val="00A83463"/>
    <w:rsid w:val="00A83AFA"/>
    <w:rsid w:val="00A840BE"/>
    <w:rsid w:val="00A85212"/>
    <w:rsid w:val="00A8550E"/>
    <w:rsid w:val="00A857DF"/>
    <w:rsid w:val="00A85EE0"/>
    <w:rsid w:val="00A8601F"/>
    <w:rsid w:val="00A86209"/>
    <w:rsid w:val="00A863B4"/>
    <w:rsid w:val="00A866EA"/>
    <w:rsid w:val="00A8673E"/>
    <w:rsid w:val="00A8679C"/>
    <w:rsid w:val="00A86919"/>
    <w:rsid w:val="00A8698E"/>
    <w:rsid w:val="00A86D35"/>
    <w:rsid w:val="00A86D8C"/>
    <w:rsid w:val="00A8733F"/>
    <w:rsid w:val="00A873EA"/>
    <w:rsid w:val="00A902B0"/>
    <w:rsid w:val="00A91206"/>
    <w:rsid w:val="00A913CE"/>
    <w:rsid w:val="00A91A5D"/>
    <w:rsid w:val="00A91CA6"/>
    <w:rsid w:val="00A92370"/>
    <w:rsid w:val="00A928F5"/>
    <w:rsid w:val="00A936EA"/>
    <w:rsid w:val="00A9493E"/>
    <w:rsid w:val="00A94D54"/>
    <w:rsid w:val="00A951A5"/>
    <w:rsid w:val="00A95891"/>
    <w:rsid w:val="00A95C34"/>
    <w:rsid w:val="00A95C7D"/>
    <w:rsid w:val="00A95E4B"/>
    <w:rsid w:val="00A96179"/>
    <w:rsid w:val="00A96580"/>
    <w:rsid w:val="00A96F2E"/>
    <w:rsid w:val="00A96FE8"/>
    <w:rsid w:val="00A9766C"/>
    <w:rsid w:val="00A9772B"/>
    <w:rsid w:val="00A978AF"/>
    <w:rsid w:val="00A97AA2"/>
    <w:rsid w:val="00AA085F"/>
    <w:rsid w:val="00AA086B"/>
    <w:rsid w:val="00AA0F88"/>
    <w:rsid w:val="00AA2238"/>
    <w:rsid w:val="00AA242B"/>
    <w:rsid w:val="00AA44C9"/>
    <w:rsid w:val="00AA4747"/>
    <w:rsid w:val="00AA4A24"/>
    <w:rsid w:val="00AA4D1D"/>
    <w:rsid w:val="00AA51F6"/>
    <w:rsid w:val="00AA538F"/>
    <w:rsid w:val="00AA53C0"/>
    <w:rsid w:val="00AA58CF"/>
    <w:rsid w:val="00AA61DB"/>
    <w:rsid w:val="00AA65CB"/>
    <w:rsid w:val="00AA670D"/>
    <w:rsid w:val="00AA6EFC"/>
    <w:rsid w:val="00AA7CC1"/>
    <w:rsid w:val="00AB07DD"/>
    <w:rsid w:val="00AB0D33"/>
    <w:rsid w:val="00AB0E55"/>
    <w:rsid w:val="00AB0E9D"/>
    <w:rsid w:val="00AB0F7E"/>
    <w:rsid w:val="00AB113C"/>
    <w:rsid w:val="00AB1276"/>
    <w:rsid w:val="00AB1488"/>
    <w:rsid w:val="00AB15CA"/>
    <w:rsid w:val="00AB171A"/>
    <w:rsid w:val="00AB1859"/>
    <w:rsid w:val="00AB1866"/>
    <w:rsid w:val="00AB249D"/>
    <w:rsid w:val="00AB2A10"/>
    <w:rsid w:val="00AB2D4D"/>
    <w:rsid w:val="00AB2DFB"/>
    <w:rsid w:val="00AB2E88"/>
    <w:rsid w:val="00AB2EF1"/>
    <w:rsid w:val="00AB3E55"/>
    <w:rsid w:val="00AB40B8"/>
    <w:rsid w:val="00AB4422"/>
    <w:rsid w:val="00AB4A3C"/>
    <w:rsid w:val="00AB5380"/>
    <w:rsid w:val="00AB5452"/>
    <w:rsid w:val="00AB5C77"/>
    <w:rsid w:val="00AB5CE6"/>
    <w:rsid w:val="00AB62AE"/>
    <w:rsid w:val="00AB65B3"/>
    <w:rsid w:val="00AB6EB8"/>
    <w:rsid w:val="00AB71BA"/>
    <w:rsid w:val="00AB7353"/>
    <w:rsid w:val="00AB77DC"/>
    <w:rsid w:val="00AC0310"/>
    <w:rsid w:val="00AC0C92"/>
    <w:rsid w:val="00AC176A"/>
    <w:rsid w:val="00AC1B92"/>
    <w:rsid w:val="00AC2542"/>
    <w:rsid w:val="00AC26B9"/>
    <w:rsid w:val="00AC32B8"/>
    <w:rsid w:val="00AC3491"/>
    <w:rsid w:val="00AC3595"/>
    <w:rsid w:val="00AC3849"/>
    <w:rsid w:val="00AC3A95"/>
    <w:rsid w:val="00AC3AB3"/>
    <w:rsid w:val="00AC3C4D"/>
    <w:rsid w:val="00AC44B1"/>
    <w:rsid w:val="00AC4DE5"/>
    <w:rsid w:val="00AC55F1"/>
    <w:rsid w:val="00AC5F2A"/>
    <w:rsid w:val="00AC5F54"/>
    <w:rsid w:val="00AC6969"/>
    <w:rsid w:val="00AC6E28"/>
    <w:rsid w:val="00AC71EA"/>
    <w:rsid w:val="00AC75F4"/>
    <w:rsid w:val="00AC7862"/>
    <w:rsid w:val="00AC7995"/>
    <w:rsid w:val="00AC7ABC"/>
    <w:rsid w:val="00AD05EA"/>
    <w:rsid w:val="00AD0668"/>
    <w:rsid w:val="00AD1422"/>
    <w:rsid w:val="00AD14DB"/>
    <w:rsid w:val="00AD1699"/>
    <w:rsid w:val="00AD16EF"/>
    <w:rsid w:val="00AD1B8E"/>
    <w:rsid w:val="00AD20C3"/>
    <w:rsid w:val="00AD217B"/>
    <w:rsid w:val="00AD21F2"/>
    <w:rsid w:val="00AD26BD"/>
    <w:rsid w:val="00AD2BDD"/>
    <w:rsid w:val="00AD2E72"/>
    <w:rsid w:val="00AD35C2"/>
    <w:rsid w:val="00AD3A80"/>
    <w:rsid w:val="00AD3AE0"/>
    <w:rsid w:val="00AD474C"/>
    <w:rsid w:val="00AD4ABB"/>
    <w:rsid w:val="00AD4E23"/>
    <w:rsid w:val="00AD5A59"/>
    <w:rsid w:val="00AD5E14"/>
    <w:rsid w:val="00AD5E67"/>
    <w:rsid w:val="00AD6538"/>
    <w:rsid w:val="00AD6815"/>
    <w:rsid w:val="00AD692F"/>
    <w:rsid w:val="00AD69DE"/>
    <w:rsid w:val="00AD6B7C"/>
    <w:rsid w:val="00AD7BDD"/>
    <w:rsid w:val="00AD7D42"/>
    <w:rsid w:val="00AE010F"/>
    <w:rsid w:val="00AE032F"/>
    <w:rsid w:val="00AE037B"/>
    <w:rsid w:val="00AE0A67"/>
    <w:rsid w:val="00AE0AD7"/>
    <w:rsid w:val="00AE0E1F"/>
    <w:rsid w:val="00AE115B"/>
    <w:rsid w:val="00AE11EE"/>
    <w:rsid w:val="00AE144B"/>
    <w:rsid w:val="00AE15A8"/>
    <w:rsid w:val="00AE1A87"/>
    <w:rsid w:val="00AE239E"/>
    <w:rsid w:val="00AE2495"/>
    <w:rsid w:val="00AE24BC"/>
    <w:rsid w:val="00AE2BE4"/>
    <w:rsid w:val="00AE2E45"/>
    <w:rsid w:val="00AE32B2"/>
    <w:rsid w:val="00AE32DE"/>
    <w:rsid w:val="00AE35DC"/>
    <w:rsid w:val="00AE3769"/>
    <w:rsid w:val="00AE4219"/>
    <w:rsid w:val="00AE4BCF"/>
    <w:rsid w:val="00AE4E6B"/>
    <w:rsid w:val="00AE4F1D"/>
    <w:rsid w:val="00AE5B58"/>
    <w:rsid w:val="00AE5CA5"/>
    <w:rsid w:val="00AE5F1F"/>
    <w:rsid w:val="00AE6437"/>
    <w:rsid w:val="00AE659E"/>
    <w:rsid w:val="00AE6FB3"/>
    <w:rsid w:val="00AE7431"/>
    <w:rsid w:val="00AE7B90"/>
    <w:rsid w:val="00AE7B9C"/>
    <w:rsid w:val="00AF04AC"/>
    <w:rsid w:val="00AF0738"/>
    <w:rsid w:val="00AF141A"/>
    <w:rsid w:val="00AF160F"/>
    <w:rsid w:val="00AF17F4"/>
    <w:rsid w:val="00AF19D8"/>
    <w:rsid w:val="00AF1B00"/>
    <w:rsid w:val="00AF1C9C"/>
    <w:rsid w:val="00AF23D7"/>
    <w:rsid w:val="00AF2675"/>
    <w:rsid w:val="00AF2BA7"/>
    <w:rsid w:val="00AF3B55"/>
    <w:rsid w:val="00AF4736"/>
    <w:rsid w:val="00AF4773"/>
    <w:rsid w:val="00AF4950"/>
    <w:rsid w:val="00AF4AB3"/>
    <w:rsid w:val="00AF5419"/>
    <w:rsid w:val="00AF5AA8"/>
    <w:rsid w:val="00AF5FEF"/>
    <w:rsid w:val="00AF6E36"/>
    <w:rsid w:val="00AF7DD2"/>
    <w:rsid w:val="00AF7FAF"/>
    <w:rsid w:val="00B00122"/>
    <w:rsid w:val="00B00B55"/>
    <w:rsid w:val="00B00CD5"/>
    <w:rsid w:val="00B0103E"/>
    <w:rsid w:val="00B01ABD"/>
    <w:rsid w:val="00B01D1F"/>
    <w:rsid w:val="00B02457"/>
    <w:rsid w:val="00B026B9"/>
    <w:rsid w:val="00B03164"/>
    <w:rsid w:val="00B03B9B"/>
    <w:rsid w:val="00B048FA"/>
    <w:rsid w:val="00B04B60"/>
    <w:rsid w:val="00B04D7E"/>
    <w:rsid w:val="00B05040"/>
    <w:rsid w:val="00B058A6"/>
    <w:rsid w:val="00B05F9D"/>
    <w:rsid w:val="00B0612D"/>
    <w:rsid w:val="00B06389"/>
    <w:rsid w:val="00B06F8C"/>
    <w:rsid w:val="00B07AD7"/>
    <w:rsid w:val="00B10A5F"/>
    <w:rsid w:val="00B10F6E"/>
    <w:rsid w:val="00B11AFE"/>
    <w:rsid w:val="00B11BBC"/>
    <w:rsid w:val="00B11C08"/>
    <w:rsid w:val="00B125E3"/>
    <w:rsid w:val="00B127C2"/>
    <w:rsid w:val="00B12BBC"/>
    <w:rsid w:val="00B12D85"/>
    <w:rsid w:val="00B12DA1"/>
    <w:rsid w:val="00B13033"/>
    <w:rsid w:val="00B13664"/>
    <w:rsid w:val="00B1369E"/>
    <w:rsid w:val="00B13C78"/>
    <w:rsid w:val="00B13E45"/>
    <w:rsid w:val="00B1424F"/>
    <w:rsid w:val="00B14931"/>
    <w:rsid w:val="00B14D7E"/>
    <w:rsid w:val="00B15227"/>
    <w:rsid w:val="00B1548F"/>
    <w:rsid w:val="00B155CE"/>
    <w:rsid w:val="00B15C89"/>
    <w:rsid w:val="00B15FDF"/>
    <w:rsid w:val="00B16105"/>
    <w:rsid w:val="00B16623"/>
    <w:rsid w:val="00B167B1"/>
    <w:rsid w:val="00B16C5E"/>
    <w:rsid w:val="00B176CA"/>
    <w:rsid w:val="00B20282"/>
    <w:rsid w:val="00B20DF3"/>
    <w:rsid w:val="00B20E81"/>
    <w:rsid w:val="00B21AD0"/>
    <w:rsid w:val="00B21D86"/>
    <w:rsid w:val="00B226A3"/>
    <w:rsid w:val="00B22C10"/>
    <w:rsid w:val="00B22D8F"/>
    <w:rsid w:val="00B231A3"/>
    <w:rsid w:val="00B247D3"/>
    <w:rsid w:val="00B248E4"/>
    <w:rsid w:val="00B24B48"/>
    <w:rsid w:val="00B24C24"/>
    <w:rsid w:val="00B251B3"/>
    <w:rsid w:val="00B262B6"/>
    <w:rsid w:val="00B26D83"/>
    <w:rsid w:val="00B26DAE"/>
    <w:rsid w:val="00B26DE1"/>
    <w:rsid w:val="00B26E36"/>
    <w:rsid w:val="00B2738E"/>
    <w:rsid w:val="00B3071F"/>
    <w:rsid w:val="00B31068"/>
    <w:rsid w:val="00B31DAC"/>
    <w:rsid w:val="00B3202D"/>
    <w:rsid w:val="00B32647"/>
    <w:rsid w:val="00B3283C"/>
    <w:rsid w:val="00B32DB2"/>
    <w:rsid w:val="00B335E0"/>
    <w:rsid w:val="00B34183"/>
    <w:rsid w:val="00B34C0D"/>
    <w:rsid w:val="00B34F7A"/>
    <w:rsid w:val="00B35147"/>
    <w:rsid w:val="00B3514A"/>
    <w:rsid w:val="00B351F2"/>
    <w:rsid w:val="00B35254"/>
    <w:rsid w:val="00B35264"/>
    <w:rsid w:val="00B35819"/>
    <w:rsid w:val="00B35C1E"/>
    <w:rsid w:val="00B35C68"/>
    <w:rsid w:val="00B35F27"/>
    <w:rsid w:val="00B36315"/>
    <w:rsid w:val="00B36769"/>
    <w:rsid w:val="00B3677B"/>
    <w:rsid w:val="00B36ECD"/>
    <w:rsid w:val="00B36EE3"/>
    <w:rsid w:val="00B36FBF"/>
    <w:rsid w:val="00B37691"/>
    <w:rsid w:val="00B37EE6"/>
    <w:rsid w:val="00B40431"/>
    <w:rsid w:val="00B40FCC"/>
    <w:rsid w:val="00B4180B"/>
    <w:rsid w:val="00B41900"/>
    <w:rsid w:val="00B41E52"/>
    <w:rsid w:val="00B41ED0"/>
    <w:rsid w:val="00B420B7"/>
    <w:rsid w:val="00B42138"/>
    <w:rsid w:val="00B4238D"/>
    <w:rsid w:val="00B42693"/>
    <w:rsid w:val="00B42A96"/>
    <w:rsid w:val="00B4377E"/>
    <w:rsid w:val="00B43FFE"/>
    <w:rsid w:val="00B44235"/>
    <w:rsid w:val="00B446B3"/>
    <w:rsid w:val="00B44C70"/>
    <w:rsid w:val="00B44DD5"/>
    <w:rsid w:val="00B44F00"/>
    <w:rsid w:val="00B450D8"/>
    <w:rsid w:val="00B45C0A"/>
    <w:rsid w:val="00B45DAE"/>
    <w:rsid w:val="00B45DEF"/>
    <w:rsid w:val="00B45E7B"/>
    <w:rsid w:val="00B46361"/>
    <w:rsid w:val="00B467E8"/>
    <w:rsid w:val="00B469CE"/>
    <w:rsid w:val="00B469DB"/>
    <w:rsid w:val="00B46C75"/>
    <w:rsid w:val="00B50583"/>
    <w:rsid w:val="00B50924"/>
    <w:rsid w:val="00B50F0A"/>
    <w:rsid w:val="00B51668"/>
    <w:rsid w:val="00B51CBC"/>
    <w:rsid w:val="00B52348"/>
    <w:rsid w:val="00B52757"/>
    <w:rsid w:val="00B5284B"/>
    <w:rsid w:val="00B52CDD"/>
    <w:rsid w:val="00B53189"/>
    <w:rsid w:val="00B5326C"/>
    <w:rsid w:val="00B5338D"/>
    <w:rsid w:val="00B533FE"/>
    <w:rsid w:val="00B54171"/>
    <w:rsid w:val="00B552E8"/>
    <w:rsid w:val="00B55568"/>
    <w:rsid w:val="00B55594"/>
    <w:rsid w:val="00B55614"/>
    <w:rsid w:val="00B55662"/>
    <w:rsid w:val="00B558B2"/>
    <w:rsid w:val="00B55984"/>
    <w:rsid w:val="00B55C37"/>
    <w:rsid w:val="00B56426"/>
    <w:rsid w:val="00B56AD5"/>
    <w:rsid w:val="00B56BCF"/>
    <w:rsid w:val="00B56CAF"/>
    <w:rsid w:val="00B60AFE"/>
    <w:rsid w:val="00B62329"/>
    <w:rsid w:val="00B62357"/>
    <w:rsid w:val="00B62631"/>
    <w:rsid w:val="00B62A2F"/>
    <w:rsid w:val="00B635C3"/>
    <w:rsid w:val="00B63CE0"/>
    <w:rsid w:val="00B63FEF"/>
    <w:rsid w:val="00B6426C"/>
    <w:rsid w:val="00B64476"/>
    <w:rsid w:val="00B6452F"/>
    <w:rsid w:val="00B656B4"/>
    <w:rsid w:val="00B65901"/>
    <w:rsid w:val="00B65A91"/>
    <w:rsid w:val="00B662F0"/>
    <w:rsid w:val="00B66BEF"/>
    <w:rsid w:val="00B670E8"/>
    <w:rsid w:val="00B67491"/>
    <w:rsid w:val="00B676CC"/>
    <w:rsid w:val="00B7042D"/>
    <w:rsid w:val="00B704D3"/>
    <w:rsid w:val="00B70CF6"/>
    <w:rsid w:val="00B710A8"/>
    <w:rsid w:val="00B712D9"/>
    <w:rsid w:val="00B7165D"/>
    <w:rsid w:val="00B7186E"/>
    <w:rsid w:val="00B7256B"/>
    <w:rsid w:val="00B72A29"/>
    <w:rsid w:val="00B72C77"/>
    <w:rsid w:val="00B72D2C"/>
    <w:rsid w:val="00B73108"/>
    <w:rsid w:val="00B73435"/>
    <w:rsid w:val="00B7366A"/>
    <w:rsid w:val="00B73695"/>
    <w:rsid w:val="00B73713"/>
    <w:rsid w:val="00B73B43"/>
    <w:rsid w:val="00B73E1A"/>
    <w:rsid w:val="00B74237"/>
    <w:rsid w:val="00B74C54"/>
    <w:rsid w:val="00B753FC"/>
    <w:rsid w:val="00B75AE3"/>
    <w:rsid w:val="00B765A0"/>
    <w:rsid w:val="00B7685C"/>
    <w:rsid w:val="00B76A88"/>
    <w:rsid w:val="00B77508"/>
    <w:rsid w:val="00B77ACA"/>
    <w:rsid w:val="00B8002E"/>
    <w:rsid w:val="00B8052C"/>
    <w:rsid w:val="00B8060F"/>
    <w:rsid w:val="00B81A12"/>
    <w:rsid w:val="00B81DD8"/>
    <w:rsid w:val="00B82222"/>
    <w:rsid w:val="00B82AD7"/>
    <w:rsid w:val="00B82C13"/>
    <w:rsid w:val="00B82DF1"/>
    <w:rsid w:val="00B83086"/>
    <w:rsid w:val="00B8319F"/>
    <w:rsid w:val="00B837FA"/>
    <w:rsid w:val="00B838BE"/>
    <w:rsid w:val="00B83D3F"/>
    <w:rsid w:val="00B84A6C"/>
    <w:rsid w:val="00B84AE4"/>
    <w:rsid w:val="00B85364"/>
    <w:rsid w:val="00B8564B"/>
    <w:rsid w:val="00B85976"/>
    <w:rsid w:val="00B85BAC"/>
    <w:rsid w:val="00B8653E"/>
    <w:rsid w:val="00B86855"/>
    <w:rsid w:val="00B86C5E"/>
    <w:rsid w:val="00B87823"/>
    <w:rsid w:val="00B87879"/>
    <w:rsid w:val="00B904DF"/>
    <w:rsid w:val="00B904F1"/>
    <w:rsid w:val="00B9060A"/>
    <w:rsid w:val="00B9071E"/>
    <w:rsid w:val="00B9074E"/>
    <w:rsid w:val="00B912AB"/>
    <w:rsid w:val="00B912B3"/>
    <w:rsid w:val="00B9172F"/>
    <w:rsid w:val="00B91B22"/>
    <w:rsid w:val="00B91B71"/>
    <w:rsid w:val="00B921D5"/>
    <w:rsid w:val="00B92525"/>
    <w:rsid w:val="00B92674"/>
    <w:rsid w:val="00B926B7"/>
    <w:rsid w:val="00B92C77"/>
    <w:rsid w:val="00B92E66"/>
    <w:rsid w:val="00B939FF"/>
    <w:rsid w:val="00B942DE"/>
    <w:rsid w:val="00B954FA"/>
    <w:rsid w:val="00B957EC"/>
    <w:rsid w:val="00B95947"/>
    <w:rsid w:val="00B95B33"/>
    <w:rsid w:val="00B95EB0"/>
    <w:rsid w:val="00B9616F"/>
    <w:rsid w:val="00B96D28"/>
    <w:rsid w:val="00B970FC"/>
    <w:rsid w:val="00BA0EBD"/>
    <w:rsid w:val="00BA14D2"/>
    <w:rsid w:val="00BA1C1E"/>
    <w:rsid w:val="00BA1E55"/>
    <w:rsid w:val="00BA1E7F"/>
    <w:rsid w:val="00BA2556"/>
    <w:rsid w:val="00BA290A"/>
    <w:rsid w:val="00BA3480"/>
    <w:rsid w:val="00BA3BB5"/>
    <w:rsid w:val="00BA3C43"/>
    <w:rsid w:val="00BA52AE"/>
    <w:rsid w:val="00BA55F1"/>
    <w:rsid w:val="00BA5AEB"/>
    <w:rsid w:val="00BA5B0E"/>
    <w:rsid w:val="00BA5D10"/>
    <w:rsid w:val="00BA5D75"/>
    <w:rsid w:val="00BA5E25"/>
    <w:rsid w:val="00BA5FA3"/>
    <w:rsid w:val="00BA61DF"/>
    <w:rsid w:val="00BA62BA"/>
    <w:rsid w:val="00BA672D"/>
    <w:rsid w:val="00BA689F"/>
    <w:rsid w:val="00BA68DF"/>
    <w:rsid w:val="00BA6A2E"/>
    <w:rsid w:val="00BA726C"/>
    <w:rsid w:val="00BA7570"/>
    <w:rsid w:val="00BB047C"/>
    <w:rsid w:val="00BB06DE"/>
    <w:rsid w:val="00BB0B2A"/>
    <w:rsid w:val="00BB1098"/>
    <w:rsid w:val="00BB1C70"/>
    <w:rsid w:val="00BB1E85"/>
    <w:rsid w:val="00BB2F27"/>
    <w:rsid w:val="00BB346F"/>
    <w:rsid w:val="00BB3E47"/>
    <w:rsid w:val="00BB40BC"/>
    <w:rsid w:val="00BB4A13"/>
    <w:rsid w:val="00BB4EC1"/>
    <w:rsid w:val="00BB5BB5"/>
    <w:rsid w:val="00BB63F3"/>
    <w:rsid w:val="00BB640D"/>
    <w:rsid w:val="00BB6CE5"/>
    <w:rsid w:val="00BB6D44"/>
    <w:rsid w:val="00BB6D47"/>
    <w:rsid w:val="00BB75AB"/>
    <w:rsid w:val="00BB771F"/>
    <w:rsid w:val="00BB7CC0"/>
    <w:rsid w:val="00BB7EF4"/>
    <w:rsid w:val="00BC01F8"/>
    <w:rsid w:val="00BC0930"/>
    <w:rsid w:val="00BC0A01"/>
    <w:rsid w:val="00BC10AE"/>
    <w:rsid w:val="00BC13DE"/>
    <w:rsid w:val="00BC18FF"/>
    <w:rsid w:val="00BC2232"/>
    <w:rsid w:val="00BC238A"/>
    <w:rsid w:val="00BC3036"/>
    <w:rsid w:val="00BC32B1"/>
    <w:rsid w:val="00BC372B"/>
    <w:rsid w:val="00BC3BB9"/>
    <w:rsid w:val="00BC3BE9"/>
    <w:rsid w:val="00BC3D12"/>
    <w:rsid w:val="00BC3D45"/>
    <w:rsid w:val="00BC3EEF"/>
    <w:rsid w:val="00BC42E0"/>
    <w:rsid w:val="00BC44EB"/>
    <w:rsid w:val="00BC491B"/>
    <w:rsid w:val="00BC4B06"/>
    <w:rsid w:val="00BC4C55"/>
    <w:rsid w:val="00BC4D02"/>
    <w:rsid w:val="00BC558D"/>
    <w:rsid w:val="00BC5CEA"/>
    <w:rsid w:val="00BC6628"/>
    <w:rsid w:val="00BC7025"/>
    <w:rsid w:val="00BC75F3"/>
    <w:rsid w:val="00BD0365"/>
    <w:rsid w:val="00BD0DB5"/>
    <w:rsid w:val="00BD0ECB"/>
    <w:rsid w:val="00BD106E"/>
    <w:rsid w:val="00BD10E7"/>
    <w:rsid w:val="00BD1EA9"/>
    <w:rsid w:val="00BD1F18"/>
    <w:rsid w:val="00BD22B1"/>
    <w:rsid w:val="00BD2844"/>
    <w:rsid w:val="00BD35A9"/>
    <w:rsid w:val="00BD373B"/>
    <w:rsid w:val="00BD4177"/>
    <w:rsid w:val="00BD4477"/>
    <w:rsid w:val="00BD44C4"/>
    <w:rsid w:val="00BD4635"/>
    <w:rsid w:val="00BD470D"/>
    <w:rsid w:val="00BD506B"/>
    <w:rsid w:val="00BD5631"/>
    <w:rsid w:val="00BD5D0A"/>
    <w:rsid w:val="00BD5F0F"/>
    <w:rsid w:val="00BD6622"/>
    <w:rsid w:val="00BD69C9"/>
    <w:rsid w:val="00BD6C2E"/>
    <w:rsid w:val="00BD6CC5"/>
    <w:rsid w:val="00BE001B"/>
    <w:rsid w:val="00BE0062"/>
    <w:rsid w:val="00BE0A07"/>
    <w:rsid w:val="00BE0AF0"/>
    <w:rsid w:val="00BE0D08"/>
    <w:rsid w:val="00BE0FA1"/>
    <w:rsid w:val="00BE15BA"/>
    <w:rsid w:val="00BE16FC"/>
    <w:rsid w:val="00BE1758"/>
    <w:rsid w:val="00BE19B8"/>
    <w:rsid w:val="00BE1F10"/>
    <w:rsid w:val="00BE2034"/>
    <w:rsid w:val="00BE25AB"/>
    <w:rsid w:val="00BE2C97"/>
    <w:rsid w:val="00BE33CA"/>
    <w:rsid w:val="00BE3710"/>
    <w:rsid w:val="00BE4153"/>
    <w:rsid w:val="00BE4315"/>
    <w:rsid w:val="00BE46D2"/>
    <w:rsid w:val="00BE48B7"/>
    <w:rsid w:val="00BE48D0"/>
    <w:rsid w:val="00BE48DE"/>
    <w:rsid w:val="00BE4E5B"/>
    <w:rsid w:val="00BE4EDC"/>
    <w:rsid w:val="00BE53A9"/>
    <w:rsid w:val="00BE5A0A"/>
    <w:rsid w:val="00BE5F3B"/>
    <w:rsid w:val="00BE6489"/>
    <w:rsid w:val="00BE7473"/>
    <w:rsid w:val="00BE7493"/>
    <w:rsid w:val="00BF0240"/>
    <w:rsid w:val="00BF13B8"/>
    <w:rsid w:val="00BF1D62"/>
    <w:rsid w:val="00BF20B9"/>
    <w:rsid w:val="00BF2117"/>
    <w:rsid w:val="00BF27D0"/>
    <w:rsid w:val="00BF2CF6"/>
    <w:rsid w:val="00BF320E"/>
    <w:rsid w:val="00BF342A"/>
    <w:rsid w:val="00BF3AD1"/>
    <w:rsid w:val="00BF3C4B"/>
    <w:rsid w:val="00BF3F5A"/>
    <w:rsid w:val="00BF5034"/>
    <w:rsid w:val="00BF5465"/>
    <w:rsid w:val="00BF54BB"/>
    <w:rsid w:val="00BF5A48"/>
    <w:rsid w:val="00BF5DA0"/>
    <w:rsid w:val="00BF5F38"/>
    <w:rsid w:val="00BF633A"/>
    <w:rsid w:val="00BF6514"/>
    <w:rsid w:val="00BF65D9"/>
    <w:rsid w:val="00BF6620"/>
    <w:rsid w:val="00BF676C"/>
    <w:rsid w:val="00BF7A7B"/>
    <w:rsid w:val="00C0037D"/>
    <w:rsid w:val="00C0094A"/>
    <w:rsid w:val="00C00AF4"/>
    <w:rsid w:val="00C00D83"/>
    <w:rsid w:val="00C01B97"/>
    <w:rsid w:val="00C01F7B"/>
    <w:rsid w:val="00C02EFE"/>
    <w:rsid w:val="00C03950"/>
    <w:rsid w:val="00C03961"/>
    <w:rsid w:val="00C03E31"/>
    <w:rsid w:val="00C03EC7"/>
    <w:rsid w:val="00C047C8"/>
    <w:rsid w:val="00C04803"/>
    <w:rsid w:val="00C05112"/>
    <w:rsid w:val="00C05604"/>
    <w:rsid w:val="00C05BDC"/>
    <w:rsid w:val="00C05DE3"/>
    <w:rsid w:val="00C05F40"/>
    <w:rsid w:val="00C06519"/>
    <w:rsid w:val="00C066F0"/>
    <w:rsid w:val="00C0735B"/>
    <w:rsid w:val="00C1197A"/>
    <w:rsid w:val="00C126CA"/>
    <w:rsid w:val="00C1274E"/>
    <w:rsid w:val="00C1275E"/>
    <w:rsid w:val="00C1278D"/>
    <w:rsid w:val="00C12AA4"/>
    <w:rsid w:val="00C12ECB"/>
    <w:rsid w:val="00C13409"/>
    <w:rsid w:val="00C1360E"/>
    <w:rsid w:val="00C13942"/>
    <w:rsid w:val="00C13DF5"/>
    <w:rsid w:val="00C13FA5"/>
    <w:rsid w:val="00C144D8"/>
    <w:rsid w:val="00C14597"/>
    <w:rsid w:val="00C14781"/>
    <w:rsid w:val="00C14953"/>
    <w:rsid w:val="00C14958"/>
    <w:rsid w:val="00C14FC2"/>
    <w:rsid w:val="00C154FD"/>
    <w:rsid w:val="00C15F9C"/>
    <w:rsid w:val="00C166A1"/>
    <w:rsid w:val="00C1710A"/>
    <w:rsid w:val="00C1724E"/>
    <w:rsid w:val="00C17270"/>
    <w:rsid w:val="00C17294"/>
    <w:rsid w:val="00C173E4"/>
    <w:rsid w:val="00C1768F"/>
    <w:rsid w:val="00C179A2"/>
    <w:rsid w:val="00C17D13"/>
    <w:rsid w:val="00C17D4B"/>
    <w:rsid w:val="00C17E01"/>
    <w:rsid w:val="00C206B1"/>
    <w:rsid w:val="00C20C27"/>
    <w:rsid w:val="00C20FFB"/>
    <w:rsid w:val="00C21377"/>
    <w:rsid w:val="00C21424"/>
    <w:rsid w:val="00C21507"/>
    <w:rsid w:val="00C21A53"/>
    <w:rsid w:val="00C21BF0"/>
    <w:rsid w:val="00C21C44"/>
    <w:rsid w:val="00C221D3"/>
    <w:rsid w:val="00C22A2E"/>
    <w:rsid w:val="00C22B86"/>
    <w:rsid w:val="00C22DFE"/>
    <w:rsid w:val="00C230D4"/>
    <w:rsid w:val="00C233DA"/>
    <w:rsid w:val="00C23785"/>
    <w:rsid w:val="00C24221"/>
    <w:rsid w:val="00C2461C"/>
    <w:rsid w:val="00C24817"/>
    <w:rsid w:val="00C249F7"/>
    <w:rsid w:val="00C24AF2"/>
    <w:rsid w:val="00C24EEB"/>
    <w:rsid w:val="00C252F5"/>
    <w:rsid w:val="00C25895"/>
    <w:rsid w:val="00C25A7A"/>
    <w:rsid w:val="00C25F22"/>
    <w:rsid w:val="00C26682"/>
    <w:rsid w:val="00C26FAD"/>
    <w:rsid w:val="00C272ED"/>
    <w:rsid w:val="00C276A6"/>
    <w:rsid w:val="00C2790F"/>
    <w:rsid w:val="00C27DA3"/>
    <w:rsid w:val="00C27EA3"/>
    <w:rsid w:val="00C27FBC"/>
    <w:rsid w:val="00C305F3"/>
    <w:rsid w:val="00C3084A"/>
    <w:rsid w:val="00C31585"/>
    <w:rsid w:val="00C3167E"/>
    <w:rsid w:val="00C320C8"/>
    <w:rsid w:val="00C32CA8"/>
    <w:rsid w:val="00C3322E"/>
    <w:rsid w:val="00C33366"/>
    <w:rsid w:val="00C33883"/>
    <w:rsid w:val="00C33A35"/>
    <w:rsid w:val="00C33A78"/>
    <w:rsid w:val="00C344BE"/>
    <w:rsid w:val="00C34A13"/>
    <w:rsid w:val="00C34D76"/>
    <w:rsid w:val="00C34F7D"/>
    <w:rsid w:val="00C351CD"/>
    <w:rsid w:val="00C35F4D"/>
    <w:rsid w:val="00C3612F"/>
    <w:rsid w:val="00C36B93"/>
    <w:rsid w:val="00C36BC8"/>
    <w:rsid w:val="00C36F1C"/>
    <w:rsid w:val="00C37C05"/>
    <w:rsid w:val="00C37E6B"/>
    <w:rsid w:val="00C37FBF"/>
    <w:rsid w:val="00C406EC"/>
    <w:rsid w:val="00C40710"/>
    <w:rsid w:val="00C4074A"/>
    <w:rsid w:val="00C40919"/>
    <w:rsid w:val="00C409EC"/>
    <w:rsid w:val="00C40C8E"/>
    <w:rsid w:val="00C40D80"/>
    <w:rsid w:val="00C40EA9"/>
    <w:rsid w:val="00C40F34"/>
    <w:rsid w:val="00C41ACB"/>
    <w:rsid w:val="00C42993"/>
    <w:rsid w:val="00C42AA7"/>
    <w:rsid w:val="00C42EFA"/>
    <w:rsid w:val="00C43467"/>
    <w:rsid w:val="00C43858"/>
    <w:rsid w:val="00C442F9"/>
    <w:rsid w:val="00C44616"/>
    <w:rsid w:val="00C44960"/>
    <w:rsid w:val="00C44CB0"/>
    <w:rsid w:val="00C4607F"/>
    <w:rsid w:val="00C46555"/>
    <w:rsid w:val="00C469FE"/>
    <w:rsid w:val="00C46B1A"/>
    <w:rsid w:val="00C46ECB"/>
    <w:rsid w:val="00C47341"/>
    <w:rsid w:val="00C474E9"/>
    <w:rsid w:val="00C4780B"/>
    <w:rsid w:val="00C47CC6"/>
    <w:rsid w:val="00C502FC"/>
    <w:rsid w:val="00C502FE"/>
    <w:rsid w:val="00C50F9E"/>
    <w:rsid w:val="00C51056"/>
    <w:rsid w:val="00C5177E"/>
    <w:rsid w:val="00C5188B"/>
    <w:rsid w:val="00C51C40"/>
    <w:rsid w:val="00C51DF5"/>
    <w:rsid w:val="00C528BE"/>
    <w:rsid w:val="00C52DAC"/>
    <w:rsid w:val="00C53742"/>
    <w:rsid w:val="00C54033"/>
    <w:rsid w:val="00C5422F"/>
    <w:rsid w:val="00C5427D"/>
    <w:rsid w:val="00C54438"/>
    <w:rsid w:val="00C5492B"/>
    <w:rsid w:val="00C5505D"/>
    <w:rsid w:val="00C552AD"/>
    <w:rsid w:val="00C5548A"/>
    <w:rsid w:val="00C558BC"/>
    <w:rsid w:val="00C55CE9"/>
    <w:rsid w:val="00C55E4B"/>
    <w:rsid w:val="00C567BE"/>
    <w:rsid w:val="00C572C5"/>
    <w:rsid w:val="00C57591"/>
    <w:rsid w:val="00C5767B"/>
    <w:rsid w:val="00C6020B"/>
    <w:rsid w:val="00C605B2"/>
    <w:rsid w:val="00C6066C"/>
    <w:rsid w:val="00C609A9"/>
    <w:rsid w:val="00C60A83"/>
    <w:rsid w:val="00C60DB1"/>
    <w:rsid w:val="00C6138D"/>
    <w:rsid w:val="00C618D4"/>
    <w:rsid w:val="00C618EF"/>
    <w:rsid w:val="00C61B85"/>
    <w:rsid w:val="00C61B95"/>
    <w:rsid w:val="00C6209D"/>
    <w:rsid w:val="00C6223F"/>
    <w:rsid w:val="00C62423"/>
    <w:rsid w:val="00C624C5"/>
    <w:rsid w:val="00C6373C"/>
    <w:rsid w:val="00C63A72"/>
    <w:rsid w:val="00C63B13"/>
    <w:rsid w:val="00C64BF4"/>
    <w:rsid w:val="00C64C10"/>
    <w:rsid w:val="00C651F7"/>
    <w:rsid w:val="00C652F2"/>
    <w:rsid w:val="00C655CF"/>
    <w:rsid w:val="00C657C9"/>
    <w:rsid w:val="00C6599C"/>
    <w:rsid w:val="00C659DD"/>
    <w:rsid w:val="00C65A22"/>
    <w:rsid w:val="00C661B4"/>
    <w:rsid w:val="00C662A3"/>
    <w:rsid w:val="00C66A41"/>
    <w:rsid w:val="00C66AE4"/>
    <w:rsid w:val="00C67B8A"/>
    <w:rsid w:val="00C67EBA"/>
    <w:rsid w:val="00C67EE6"/>
    <w:rsid w:val="00C707C4"/>
    <w:rsid w:val="00C70A01"/>
    <w:rsid w:val="00C70E79"/>
    <w:rsid w:val="00C717C1"/>
    <w:rsid w:val="00C71D71"/>
    <w:rsid w:val="00C71DE9"/>
    <w:rsid w:val="00C71F23"/>
    <w:rsid w:val="00C72114"/>
    <w:rsid w:val="00C725B6"/>
    <w:rsid w:val="00C728E9"/>
    <w:rsid w:val="00C729C9"/>
    <w:rsid w:val="00C72AC2"/>
    <w:rsid w:val="00C72CC9"/>
    <w:rsid w:val="00C7372D"/>
    <w:rsid w:val="00C73BE9"/>
    <w:rsid w:val="00C73CC3"/>
    <w:rsid w:val="00C73D63"/>
    <w:rsid w:val="00C73EDA"/>
    <w:rsid w:val="00C749C1"/>
    <w:rsid w:val="00C74B92"/>
    <w:rsid w:val="00C75331"/>
    <w:rsid w:val="00C753C6"/>
    <w:rsid w:val="00C760A5"/>
    <w:rsid w:val="00C771BD"/>
    <w:rsid w:val="00C774E6"/>
    <w:rsid w:val="00C80428"/>
    <w:rsid w:val="00C80588"/>
    <w:rsid w:val="00C80920"/>
    <w:rsid w:val="00C80CC2"/>
    <w:rsid w:val="00C81024"/>
    <w:rsid w:val="00C815A0"/>
    <w:rsid w:val="00C82567"/>
    <w:rsid w:val="00C8264B"/>
    <w:rsid w:val="00C82E88"/>
    <w:rsid w:val="00C8373B"/>
    <w:rsid w:val="00C83865"/>
    <w:rsid w:val="00C83E8A"/>
    <w:rsid w:val="00C83FED"/>
    <w:rsid w:val="00C8402D"/>
    <w:rsid w:val="00C847B8"/>
    <w:rsid w:val="00C8498F"/>
    <w:rsid w:val="00C84C29"/>
    <w:rsid w:val="00C84DE1"/>
    <w:rsid w:val="00C85888"/>
    <w:rsid w:val="00C85E1B"/>
    <w:rsid w:val="00C8645A"/>
    <w:rsid w:val="00C8696B"/>
    <w:rsid w:val="00C86C52"/>
    <w:rsid w:val="00C87F87"/>
    <w:rsid w:val="00C9046A"/>
    <w:rsid w:val="00C9059D"/>
    <w:rsid w:val="00C9122F"/>
    <w:rsid w:val="00C914CC"/>
    <w:rsid w:val="00C91ECF"/>
    <w:rsid w:val="00C920E6"/>
    <w:rsid w:val="00C926F3"/>
    <w:rsid w:val="00C92713"/>
    <w:rsid w:val="00C92A05"/>
    <w:rsid w:val="00C92EAC"/>
    <w:rsid w:val="00C92F29"/>
    <w:rsid w:val="00C931E0"/>
    <w:rsid w:val="00C931E7"/>
    <w:rsid w:val="00C9340A"/>
    <w:rsid w:val="00C93611"/>
    <w:rsid w:val="00C93E16"/>
    <w:rsid w:val="00C944C7"/>
    <w:rsid w:val="00C94666"/>
    <w:rsid w:val="00C946BF"/>
    <w:rsid w:val="00C9478A"/>
    <w:rsid w:val="00C94C72"/>
    <w:rsid w:val="00C94E87"/>
    <w:rsid w:val="00C95C87"/>
    <w:rsid w:val="00C95D39"/>
    <w:rsid w:val="00C96AD0"/>
    <w:rsid w:val="00C96DAC"/>
    <w:rsid w:val="00C97011"/>
    <w:rsid w:val="00C9729B"/>
    <w:rsid w:val="00C97363"/>
    <w:rsid w:val="00C97B44"/>
    <w:rsid w:val="00CA043D"/>
    <w:rsid w:val="00CA0DAB"/>
    <w:rsid w:val="00CA11BE"/>
    <w:rsid w:val="00CA242A"/>
    <w:rsid w:val="00CA243B"/>
    <w:rsid w:val="00CA3781"/>
    <w:rsid w:val="00CA394C"/>
    <w:rsid w:val="00CA40E2"/>
    <w:rsid w:val="00CA411F"/>
    <w:rsid w:val="00CA4A13"/>
    <w:rsid w:val="00CA4AC6"/>
    <w:rsid w:val="00CA5CC3"/>
    <w:rsid w:val="00CA5CC5"/>
    <w:rsid w:val="00CA6084"/>
    <w:rsid w:val="00CA6247"/>
    <w:rsid w:val="00CA6F00"/>
    <w:rsid w:val="00CA7644"/>
    <w:rsid w:val="00CA768E"/>
    <w:rsid w:val="00CA79A4"/>
    <w:rsid w:val="00CA7F46"/>
    <w:rsid w:val="00CB00D7"/>
    <w:rsid w:val="00CB01BB"/>
    <w:rsid w:val="00CB050E"/>
    <w:rsid w:val="00CB06D2"/>
    <w:rsid w:val="00CB06D3"/>
    <w:rsid w:val="00CB09DE"/>
    <w:rsid w:val="00CB1368"/>
    <w:rsid w:val="00CB1983"/>
    <w:rsid w:val="00CB1ECA"/>
    <w:rsid w:val="00CB2387"/>
    <w:rsid w:val="00CB28B6"/>
    <w:rsid w:val="00CB2A8D"/>
    <w:rsid w:val="00CB2D99"/>
    <w:rsid w:val="00CB2E67"/>
    <w:rsid w:val="00CB30BA"/>
    <w:rsid w:val="00CB316B"/>
    <w:rsid w:val="00CB3349"/>
    <w:rsid w:val="00CB3692"/>
    <w:rsid w:val="00CB41B6"/>
    <w:rsid w:val="00CB5872"/>
    <w:rsid w:val="00CB6676"/>
    <w:rsid w:val="00CB6A2B"/>
    <w:rsid w:val="00CB6BCF"/>
    <w:rsid w:val="00CB6FD3"/>
    <w:rsid w:val="00CB76A0"/>
    <w:rsid w:val="00CC0611"/>
    <w:rsid w:val="00CC1254"/>
    <w:rsid w:val="00CC172D"/>
    <w:rsid w:val="00CC1C33"/>
    <w:rsid w:val="00CC204C"/>
    <w:rsid w:val="00CC237A"/>
    <w:rsid w:val="00CC23E8"/>
    <w:rsid w:val="00CC25A5"/>
    <w:rsid w:val="00CC27A6"/>
    <w:rsid w:val="00CC2B30"/>
    <w:rsid w:val="00CC2F79"/>
    <w:rsid w:val="00CC30D9"/>
    <w:rsid w:val="00CC315B"/>
    <w:rsid w:val="00CC33C2"/>
    <w:rsid w:val="00CC3480"/>
    <w:rsid w:val="00CC356D"/>
    <w:rsid w:val="00CC3AE2"/>
    <w:rsid w:val="00CC3F83"/>
    <w:rsid w:val="00CC4815"/>
    <w:rsid w:val="00CC504A"/>
    <w:rsid w:val="00CC50FC"/>
    <w:rsid w:val="00CC5844"/>
    <w:rsid w:val="00CC5918"/>
    <w:rsid w:val="00CC5CFC"/>
    <w:rsid w:val="00CC5D75"/>
    <w:rsid w:val="00CC655C"/>
    <w:rsid w:val="00CC6768"/>
    <w:rsid w:val="00CC6A9C"/>
    <w:rsid w:val="00CC6EF4"/>
    <w:rsid w:val="00CC7197"/>
    <w:rsid w:val="00CC732A"/>
    <w:rsid w:val="00CD0097"/>
    <w:rsid w:val="00CD014B"/>
    <w:rsid w:val="00CD0224"/>
    <w:rsid w:val="00CD022D"/>
    <w:rsid w:val="00CD0462"/>
    <w:rsid w:val="00CD0519"/>
    <w:rsid w:val="00CD07AF"/>
    <w:rsid w:val="00CD2403"/>
    <w:rsid w:val="00CD3DAE"/>
    <w:rsid w:val="00CD4070"/>
    <w:rsid w:val="00CD46F9"/>
    <w:rsid w:val="00CD561E"/>
    <w:rsid w:val="00CD56CF"/>
    <w:rsid w:val="00CD56E4"/>
    <w:rsid w:val="00CD5E62"/>
    <w:rsid w:val="00CD5EFB"/>
    <w:rsid w:val="00CD6DFE"/>
    <w:rsid w:val="00CD7157"/>
    <w:rsid w:val="00CD79B4"/>
    <w:rsid w:val="00CD7B7E"/>
    <w:rsid w:val="00CE005F"/>
    <w:rsid w:val="00CE05A1"/>
    <w:rsid w:val="00CE077F"/>
    <w:rsid w:val="00CE0E9B"/>
    <w:rsid w:val="00CE132B"/>
    <w:rsid w:val="00CE1597"/>
    <w:rsid w:val="00CE15D2"/>
    <w:rsid w:val="00CE17CF"/>
    <w:rsid w:val="00CE1990"/>
    <w:rsid w:val="00CE1A3E"/>
    <w:rsid w:val="00CE1B30"/>
    <w:rsid w:val="00CE1D5B"/>
    <w:rsid w:val="00CE2018"/>
    <w:rsid w:val="00CE2592"/>
    <w:rsid w:val="00CE297A"/>
    <w:rsid w:val="00CE2FCF"/>
    <w:rsid w:val="00CE405C"/>
    <w:rsid w:val="00CE4098"/>
    <w:rsid w:val="00CE40C8"/>
    <w:rsid w:val="00CE4237"/>
    <w:rsid w:val="00CE4DAC"/>
    <w:rsid w:val="00CE50F5"/>
    <w:rsid w:val="00CE5A0D"/>
    <w:rsid w:val="00CE605E"/>
    <w:rsid w:val="00CE6515"/>
    <w:rsid w:val="00CE67C3"/>
    <w:rsid w:val="00CE7A1E"/>
    <w:rsid w:val="00CE7FB2"/>
    <w:rsid w:val="00CE7FBA"/>
    <w:rsid w:val="00CE7FE2"/>
    <w:rsid w:val="00CF0364"/>
    <w:rsid w:val="00CF06F2"/>
    <w:rsid w:val="00CF0C90"/>
    <w:rsid w:val="00CF0C93"/>
    <w:rsid w:val="00CF190A"/>
    <w:rsid w:val="00CF226E"/>
    <w:rsid w:val="00CF23C9"/>
    <w:rsid w:val="00CF2819"/>
    <w:rsid w:val="00CF31A9"/>
    <w:rsid w:val="00CF3307"/>
    <w:rsid w:val="00CF335C"/>
    <w:rsid w:val="00CF33CA"/>
    <w:rsid w:val="00CF35F7"/>
    <w:rsid w:val="00CF450C"/>
    <w:rsid w:val="00CF469E"/>
    <w:rsid w:val="00CF4E90"/>
    <w:rsid w:val="00CF4F03"/>
    <w:rsid w:val="00CF57BD"/>
    <w:rsid w:val="00CF6507"/>
    <w:rsid w:val="00CF68BA"/>
    <w:rsid w:val="00CF6DB6"/>
    <w:rsid w:val="00CF71D9"/>
    <w:rsid w:val="00CF77A4"/>
    <w:rsid w:val="00CF77F9"/>
    <w:rsid w:val="00CF7FD6"/>
    <w:rsid w:val="00D0037B"/>
    <w:rsid w:val="00D00F34"/>
    <w:rsid w:val="00D01562"/>
    <w:rsid w:val="00D01D85"/>
    <w:rsid w:val="00D01DDB"/>
    <w:rsid w:val="00D02166"/>
    <w:rsid w:val="00D021D0"/>
    <w:rsid w:val="00D02881"/>
    <w:rsid w:val="00D02CBC"/>
    <w:rsid w:val="00D03611"/>
    <w:rsid w:val="00D036DB"/>
    <w:rsid w:val="00D037AA"/>
    <w:rsid w:val="00D03A3A"/>
    <w:rsid w:val="00D041DC"/>
    <w:rsid w:val="00D044F2"/>
    <w:rsid w:val="00D04CB1"/>
    <w:rsid w:val="00D0517F"/>
    <w:rsid w:val="00D052CA"/>
    <w:rsid w:val="00D055B3"/>
    <w:rsid w:val="00D0577C"/>
    <w:rsid w:val="00D05A0F"/>
    <w:rsid w:val="00D05D97"/>
    <w:rsid w:val="00D06093"/>
    <w:rsid w:val="00D064DA"/>
    <w:rsid w:val="00D065D2"/>
    <w:rsid w:val="00D06637"/>
    <w:rsid w:val="00D077E2"/>
    <w:rsid w:val="00D11194"/>
    <w:rsid w:val="00D11A4B"/>
    <w:rsid w:val="00D11A69"/>
    <w:rsid w:val="00D11E17"/>
    <w:rsid w:val="00D11E25"/>
    <w:rsid w:val="00D12450"/>
    <w:rsid w:val="00D12ACD"/>
    <w:rsid w:val="00D13701"/>
    <w:rsid w:val="00D13783"/>
    <w:rsid w:val="00D1399B"/>
    <w:rsid w:val="00D13C14"/>
    <w:rsid w:val="00D13C84"/>
    <w:rsid w:val="00D13D34"/>
    <w:rsid w:val="00D13E38"/>
    <w:rsid w:val="00D13E66"/>
    <w:rsid w:val="00D140E9"/>
    <w:rsid w:val="00D14169"/>
    <w:rsid w:val="00D148F7"/>
    <w:rsid w:val="00D14C98"/>
    <w:rsid w:val="00D14EC3"/>
    <w:rsid w:val="00D14EC5"/>
    <w:rsid w:val="00D156C1"/>
    <w:rsid w:val="00D157D8"/>
    <w:rsid w:val="00D15DC5"/>
    <w:rsid w:val="00D15E0C"/>
    <w:rsid w:val="00D15E80"/>
    <w:rsid w:val="00D16435"/>
    <w:rsid w:val="00D16862"/>
    <w:rsid w:val="00D1687C"/>
    <w:rsid w:val="00D16E84"/>
    <w:rsid w:val="00D16EEE"/>
    <w:rsid w:val="00D17022"/>
    <w:rsid w:val="00D1752D"/>
    <w:rsid w:val="00D175FB"/>
    <w:rsid w:val="00D17D62"/>
    <w:rsid w:val="00D17FA5"/>
    <w:rsid w:val="00D20920"/>
    <w:rsid w:val="00D20B95"/>
    <w:rsid w:val="00D20B9A"/>
    <w:rsid w:val="00D20DE5"/>
    <w:rsid w:val="00D2157A"/>
    <w:rsid w:val="00D218E1"/>
    <w:rsid w:val="00D21DB0"/>
    <w:rsid w:val="00D2216A"/>
    <w:rsid w:val="00D22553"/>
    <w:rsid w:val="00D22D17"/>
    <w:rsid w:val="00D22E41"/>
    <w:rsid w:val="00D231D5"/>
    <w:rsid w:val="00D233A9"/>
    <w:rsid w:val="00D23A2C"/>
    <w:rsid w:val="00D247E8"/>
    <w:rsid w:val="00D26918"/>
    <w:rsid w:val="00D2701E"/>
    <w:rsid w:val="00D2718C"/>
    <w:rsid w:val="00D27421"/>
    <w:rsid w:val="00D27532"/>
    <w:rsid w:val="00D27C48"/>
    <w:rsid w:val="00D3051B"/>
    <w:rsid w:val="00D30839"/>
    <w:rsid w:val="00D30D61"/>
    <w:rsid w:val="00D3134F"/>
    <w:rsid w:val="00D31C5A"/>
    <w:rsid w:val="00D31E03"/>
    <w:rsid w:val="00D320DF"/>
    <w:rsid w:val="00D321A4"/>
    <w:rsid w:val="00D32429"/>
    <w:rsid w:val="00D32628"/>
    <w:rsid w:val="00D33100"/>
    <w:rsid w:val="00D33C62"/>
    <w:rsid w:val="00D33CA6"/>
    <w:rsid w:val="00D33E26"/>
    <w:rsid w:val="00D3417C"/>
    <w:rsid w:val="00D3428D"/>
    <w:rsid w:val="00D343F1"/>
    <w:rsid w:val="00D34712"/>
    <w:rsid w:val="00D34862"/>
    <w:rsid w:val="00D34984"/>
    <w:rsid w:val="00D34E70"/>
    <w:rsid w:val="00D352A4"/>
    <w:rsid w:val="00D357D2"/>
    <w:rsid w:val="00D35C5A"/>
    <w:rsid w:val="00D3675F"/>
    <w:rsid w:val="00D36E2B"/>
    <w:rsid w:val="00D36E39"/>
    <w:rsid w:val="00D37870"/>
    <w:rsid w:val="00D37A44"/>
    <w:rsid w:val="00D37E08"/>
    <w:rsid w:val="00D37EB7"/>
    <w:rsid w:val="00D37F1A"/>
    <w:rsid w:val="00D404CA"/>
    <w:rsid w:val="00D405D4"/>
    <w:rsid w:val="00D4078D"/>
    <w:rsid w:val="00D408D3"/>
    <w:rsid w:val="00D40B75"/>
    <w:rsid w:val="00D40F29"/>
    <w:rsid w:val="00D40F57"/>
    <w:rsid w:val="00D42339"/>
    <w:rsid w:val="00D4234F"/>
    <w:rsid w:val="00D427E9"/>
    <w:rsid w:val="00D42A3B"/>
    <w:rsid w:val="00D448EC"/>
    <w:rsid w:val="00D44946"/>
    <w:rsid w:val="00D45297"/>
    <w:rsid w:val="00D456B1"/>
    <w:rsid w:val="00D461E4"/>
    <w:rsid w:val="00D464C3"/>
    <w:rsid w:val="00D4666E"/>
    <w:rsid w:val="00D46BDF"/>
    <w:rsid w:val="00D470B5"/>
    <w:rsid w:val="00D47335"/>
    <w:rsid w:val="00D4770C"/>
    <w:rsid w:val="00D47859"/>
    <w:rsid w:val="00D478BF"/>
    <w:rsid w:val="00D47A88"/>
    <w:rsid w:val="00D47B7C"/>
    <w:rsid w:val="00D47FE7"/>
    <w:rsid w:val="00D501DF"/>
    <w:rsid w:val="00D5034E"/>
    <w:rsid w:val="00D51057"/>
    <w:rsid w:val="00D5115C"/>
    <w:rsid w:val="00D51DDC"/>
    <w:rsid w:val="00D51FAD"/>
    <w:rsid w:val="00D52121"/>
    <w:rsid w:val="00D522F0"/>
    <w:rsid w:val="00D52419"/>
    <w:rsid w:val="00D52B1B"/>
    <w:rsid w:val="00D5385D"/>
    <w:rsid w:val="00D539A9"/>
    <w:rsid w:val="00D53C41"/>
    <w:rsid w:val="00D5404B"/>
    <w:rsid w:val="00D54167"/>
    <w:rsid w:val="00D543FE"/>
    <w:rsid w:val="00D5446A"/>
    <w:rsid w:val="00D54675"/>
    <w:rsid w:val="00D54743"/>
    <w:rsid w:val="00D552A6"/>
    <w:rsid w:val="00D5538E"/>
    <w:rsid w:val="00D55FC4"/>
    <w:rsid w:val="00D56364"/>
    <w:rsid w:val="00D563A1"/>
    <w:rsid w:val="00D56697"/>
    <w:rsid w:val="00D56D51"/>
    <w:rsid w:val="00D56EE7"/>
    <w:rsid w:val="00D57820"/>
    <w:rsid w:val="00D60326"/>
    <w:rsid w:val="00D60955"/>
    <w:rsid w:val="00D6140E"/>
    <w:rsid w:val="00D6184F"/>
    <w:rsid w:val="00D61B97"/>
    <w:rsid w:val="00D61EB1"/>
    <w:rsid w:val="00D6221A"/>
    <w:rsid w:val="00D6227A"/>
    <w:rsid w:val="00D62407"/>
    <w:rsid w:val="00D630F3"/>
    <w:rsid w:val="00D632BA"/>
    <w:rsid w:val="00D63439"/>
    <w:rsid w:val="00D63744"/>
    <w:rsid w:val="00D647C7"/>
    <w:rsid w:val="00D64D94"/>
    <w:rsid w:val="00D6529C"/>
    <w:rsid w:val="00D65CB4"/>
    <w:rsid w:val="00D65DCB"/>
    <w:rsid w:val="00D65FD2"/>
    <w:rsid w:val="00D66072"/>
    <w:rsid w:val="00D6659F"/>
    <w:rsid w:val="00D66907"/>
    <w:rsid w:val="00D672BF"/>
    <w:rsid w:val="00D673F2"/>
    <w:rsid w:val="00D67B67"/>
    <w:rsid w:val="00D67C2A"/>
    <w:rsid w:val="00D67DBA"/>
    <w:rsid w:val="00D70916"/>
    <w:rsid w:val="00D70E66"/>
    <w:rsid w:val="00D70FD0"/>
    <w:rsid w:val="00D71102"/>
    <w:rsid w:val="00D71594"/>
    <w:rsid w:val="00D7212C"/>
    <w:rsid w:val="00D72A84"/>
    <w:rsid w:val="00D72DCF"/>
    <w:rsid w:val="00D72E4F"/>
    <w:rsid w:val="00D7310E"/>
    <w:rsid w:val="00D7399D"/>
    <w:rsid w:val="00D739B4"/>
    <w:rsid w:val="00D73F13"/>
    <w:rsid w:val="00D74AC4"/>
    <w:rsid w:val="00D74AEA"/>
    <w:rsid w:val="00D74CBF"/>
    <w:rsid w:val="00D751DA"/>
    <w:rsid w:val="00D75678"/>
    <w:rsid w:val="00D76559"/>
    <w:rsid w:val="00D765E1"/>
    <w:rsid w:val="00D769EE"/>
    <w:rsid w:val="00D77219"/>
    <w:rsid w:val="00D77517"/>
    <w:rsid w:val="00D77B48"/>
    <w:rsid w:val="00D77C60"/>
    <w:rsid w:val="00D77CBF"/>
    <w:rsid w:val="00D8057F"/>
    <w:rsid w:val="00D81006"/>
    <w:rsid w:val="00D81387"/>
    <w:rsid w:val="00D8161E"/>
    <w:rsid w:val="00D817BC"/>
    <w:rsid w:val="00D81AF5"/>
    <w:rsid w:val="00D82134"/>
    <w:rsid w:val="00D838B9"/>
    <w:rsid w:val="00D83959"/>
    <w:rsid w:val="00D842A3"/>
    <w:rsid w:val="00D844C5"/>
    <w:rsid w:val="00D84CE6"/>
    <w:rsid w:val="00D84E98"/>
    <w:rsid w:val="00D8567C"/>
    <w:rsid w:val="00D86B21"/>
    <w:rsid w:val="00D8722C"/>
    <w:rsid w:val="00D875A8"/>
    <w:rsid w:val="00D90665"/>
    <w:rsid w:val="00D90837"/>
    <w:rsid w:val="00D90C2B"/>
    <w:rsid w:val="00D90E8B"/>
    <w:rsid w:val="00D911D0"/>
    <w:rsid w:val="00D91BAA"/>
    <w:rsid w:val="00D91C7A"/>
    <w:rsid w:val="00D91F7E"/>
    <w:rsid w:val="00D92218"/>
    <w:rsid w:val="00D929AE"/>
    <w:rsid w:val="00D939CE"/>
    <w:rsid w:val="00D93F4D"/>
    <w:rsid w:val="00D9470F"/>
    <w:rsid w:val="00D94F59"/>
    <w:rsid w:val="00D953E3"/>
    <w:rsid w:val="00D95E63"/>
    <w:rsid w:val="00D97425"/>
    <w:rsid w:val="00D974F6"/>
    <w:rsid w:val="00DA0987"/>
    <w:rsid w:val="00DA0E61"/>
    <w:rsid w:val="00DA13A5"/>
    <w:rsid w:val="00DA17BA"/>
    <w:rsid w:val="00DA1B90"/>
    <w:rsid w:val="00DA1E27"/>
    <w:rsid w:val="00DA1FB9"/>
    <w:rsid w:val="00DA2029"/>
    <w:rsid w:val="00DA28ED"/>
    <w:rsid w:val="00DA2B16"/>
    <w:rsid w:val="00DA342C"/>
    <w:rsid w:val="00DA34D7"/>
    <w:rsid w:val="00DA3622"/>
    <w:rsid w:val="00DA36DF"/>
    <w:rsid w:val="00DA37D8"/>
    <w:rsid w:val="00DA38BA"/>
    <w:rsid w:val="00DA3A29"/>
    <w:rsid w:val="00DA3BE1"/>
    <w:rsid w:val="00DA3F99"/>
    <w:rsid w:val="00DA4082"/>
    <w:rsid w:val="00DA447A"/>
    <w:rsid w:val="00DA47B2"/>
    <w:rsid w:val="00DA5C88"/>
    <w:rsid w:val="00DA5D16"/>
    <w:rsid w:val="00DA5F3F"/>
    <w:rsid w:val="00DA5FA9"/>
    <w:rsid w:val="00DA65D9"/>
    <w:rsid w:val="00DA6B35"/>
    <w:rsid w:val="00DA6C59"/>
    <w:rsid w:val="00DA6C8F"/>
    <w:rsid w:val="00DA6E60"/>
    <w:rsid w:val="00DA7377"/>
    <w:rsid w:val="00DA7694"/>
    <w:rsid w:val="00DA7944"/>
    <w:rsid w:val="00DA796C"/>
    <w:rsid w:val="00DA7ADD"/>
    <w:rsid w:val="00DA7CEE"/>
    <w:rsid w:val="00DA7E81"/>
    <w:rsid w:val="00DA7FB1"/>
    <w:rsid w:val="00DB0154"/>
    <w:rsid w:val="00DB0615"/>
    <w:rsid w:val="00DB0B94"/>
    <w:rsid w:val="00DB10C1"/>
    <w:rsid w:val="00DB1808"/>
    <w:rsid w:val="00DB1AF2"/>
    <w:rsid w:val="00DB1E3A"/>
    <w:rsid w:val="00DB20C5"/>
    <w:rsid w:val="00DB254D"/>
    <w:rsid w:val="00DB25A9"/>
    <w:rsid w:val="00DB2633"/>
    <w:rsid w:val="00DB34AE"/>
    <w:rsid w:val="00DB3E5C"/>
    <w:rsid w:val="00DB442B"/>
    <w:rsid w:val="00DB45FE"/>
    <w:rsid w:val="00DB4A43"/>
    <w:rsid w:val="00DB5E9B"/>
    <w:rsid w:val="00DB60DF"/>
    <w:rsid w:val="00DB6234"/>
    <w:rsid w:val="00DB65C0"/>
    <w:rsid w:val="00DB699A"/>
    <w:rsid w:val="00DB7050"/>
    <w:rsid w:val="00DB76E3"/>
    <w:rsid w:val="00DB771F"/>
    <w:rsid w:val="00DB7AE8"/>
    <w:rsid w:val="00DC0040"/>
    <w:rsid w:val="00DC0668"/>
    <w:rsid w:val="00DC0A33"/>
    <w:rsid w:val="00DC105E"/>
    <w:rsid w:val="00DC11F8"/>
    <w:rsid w:val="00DC1969"/>
    <w:rsid w:val="00DC1A2F"/>
    <w:rsid w:val="00DC1A30"/>
    <w:rsid w:val="00DC1FA6"/>
    <w:rsid w:val="00DC28EA"/>
    <w:rsid w:val="00DC4042"/>
    <w:rsid w:val="00DC40B5"/>
    <w:rsid w:val="00DC42EC"/>
    <w:rsid w:val="00DC4CF0"/>
    <w:rsid w:val="00DC4E30"/>
    <w:rsid w:val="00DC54A5"/>
    <w:rsid w:val="00DC5C32"/>
    <w:rsid w:val="00DC5E5C"/>
    <w:rsid w:val="00DC6646"/>
    <w:rsid w:val="00DC6797"/>
    <w:rsid w:val="00DC6A97"/>
    <w:rsid w:val="00DC6DFE"/>
    <w:rsid w:val="00DC6E5A"/>
    <w:rsid w:val="00DC6F00"/>
    <w:rsid w:val="00DC7891"/>
    <w:rsid w:val="00DC7BC0"/>
    <w:rsid w:val="00DC7CF1"/>
    <w:rsid w:val="00DD01D5"/>
    <w:rsid w:val="00DD0687"/>
    <w:rsid w:val="00DD19B0"/>
    <w:rsid w:val="00DD1B5E"/>
    <w:rsid w:val="00DD1F6E"/>
    <w:rsid w:val="00DD2620"/>
    <w:rsid w:val="00DD27E8"/>
    <w:rsid w:val="00DD2A45"/>
    <w:rsid w:val="00DD3062"/>
    <w:rsid w:val="00DD31B5"/>
    <w:rsid w:val="00DD3429"/>
    <w:rsid w:val="00DD36D4"/>
    <w:rsid w:val="00DD3BB0"/>
    <w:rsid w:val="00DD3CAF"/>
    <w:rsid w:val="00DD4045"/>
    <w:rsid w:val="00DD424E"/>
    <w:rsid w:val="00DD4CD8"/>
    <w:rsid w:val="00DD53E4"/>
    <w:rsid w:val="00DD56D7"/>
    <w:rsid w:val="00DD5FCC"/>
    <w:rsid w:val="00DD6D3B"/>
    <w:rsid w:val="00DD6F84"/>
    <w:rsid w:val="00DD7289"/>
    <w:rsid w:val="00DD72DF"/>
    <w:rsid w:val="00DD746E"/>
    <w:rsid w:val="00DD773C"/>
    <w:rsid w:val="00DD775D"/>
    <w:rsid w:val="00DD7AE9"/>
    <w:rsid w:val="00DD7DAE"/>
    <w:rsid w:val="00DD7FC1"/>
    <w:rsid w:val="00DE08CD"/>
    <w:rsid w:val="00DE0B3C"/>
    <w:rsid w:val="00DE1C89"/>
    <w:rsid w:val="00DE1C8B"/>
    <w:rsid w:val="00DE1FBF"/>
    <w:rsid w:val="00DE20A0"/>
    <w:rsid w:val="00DE210E"/>
    <w:rsid w:val="00DE2494"/>
    <w:rsid w:val="00DE25E7"/>
    <w:rsid w:val="00DE2D7F"/>
    <w:rsid w:val="00DE2E8E"/>
    <w:rsid w:val="00DE3AD5"/>
    <w:rsid w:val="00DE422C"/>
    <w:rsid w:val="00DE42F0"/>
    <w:rsid w:val="00DE5305"/>
    <w:rsid w:val="00DE58D4"/>
    <w:rsid w:val="00DE5905"/>
    <w:rsid w:val="00DE608D"/>
    <w:rsid w:val="00DE639B"/>
    <w:rsid w:val="00DE702D"/>
    <w:rsid w:val="00DE753C"/>
    <w:rsid w:val="00DF0113"/>
    <w:rsid w:val="00DF05CB"/>
    <w:rsid w:val="00DF18D3"/>
    <w:rsid w:val="00DF1EF8"/>
    <w:rsid w:val="00DF26BD"/>
    <w:rsid w:val="00DF2795"/>
    <w:rsid w:val="00DF284B"/>
    <w:rsid w:val="00DF288B"/>
    <w:rsid w:val="00DF2FC5"/>
    <w:rsid w:val="00DF32DA"/>
    <w:rsid w:val="00DF3963"/>
    <w:rsid w:val="00DF3EBE"/>
    <w:rsid w:val="00DF4024"/>
    <w:rsid w:val="00DF4B50"/>
    <w:rsid w:val="00DF5119"/>
    <w:rsid w:val="00DF5477"/>
    <w:rsid w:val="00DF56B2"/>
    <w:rsid w:val="00DF5EFD"/>
    <w:rsid w:val="00E0071A"/>
    <w:rsid w:val="00E00B4A"/>
    <w:rsid w:val="00E010C7"/>
    <w:rsid w:val="00E010E2"/>
    <w:rsid w:val="00E0149A"/>
    <w:rsid w:val="00E0193E"/>
    <w:rsid w:val="00E0194E"/>
    <w:rsid w:val="00E01E5E"/>
    <w:rsid w:val="00E02752"/>
    <w:rsid w:val="00E02D3C"/>
    <w:rsid w:val="00E0316A"/>
    <w:rsid w:val="00E03C80"/>
    <w:rsid w:val="00E03CF0"/>
    <w:rsid w:val="00E03D1E"/>
    <w:rsid w:val="00E03DEC"/>
    <w:rsid w:val="00E03E0E"/>
    <w:rsid w:val="00E04F6D"/>
    <w:rsid w:val="00E04FD4"/>
    <w:rsid w:val="00E059B3"/>
    <w:rsid w:val="00E05F98"/>
    <w:rsid w:val="00E068CB"/>
    <w:rsid w:val="00E06EE7"/>
    <w:rsid w:val="00E07B67"/>
    <w:rsid w:val="00E07E23"/>
    <w:rsid w:val="00E07E89"/>
    <w:rsid w:val="00E10190"/>
    <w:rsid w:val="00E1041B"/>
    <w:rsid w:val="00E10C25"/>
    <w:rsid w:val="00E1110B"/>
    <w:rsid w:val="00E11334"/>
    <w:rsid w:val="00E11474"/>
    <w:rsid w:val="00E11D29"/>
    <w:rsid w:val="00E12770"/>
    <w:rsid w:val="00E13088"/>
    <w:rsid w:val="00E13FDA"/>
    <w:rsid w:val="00E15101"/>
    <w:rsid w:val="00E16684"/>
    <w:rsid w:val="00E1681F"/>
    <w:rsid w:val="00E16C46"/>
    <w:rsid w:val="00E17201"/>
    <w:rsid w:val="00E172A9"/>
    <w:rsid w:val="00E174D9"/>
    <w:rsid w:val="00E17C44"/>
    <w:rsid w:val="00E17D74"/>
    <w:rsid w:val="00E17EC7"/>
    <w:rsid w:val="00E20370"/>
    <w:rsid w:val="00E20452"/>
    <w:rsid w:val="00E20758"/>
    <w:rsid w:val="00E21372"/>
    <w:rsid w:val="00E21FD2"/>
    <w:rsid w:val="00E22417"/>
    <w:rsid w:val="00E22594"/>
    <w:rsid w:val="00E2271D"/>
    <w:rsid w:val="00E22BCA"/>
    <w:rsid w:val="00E2310B"/>
    <w:rsid w:val="00E235A5"/>
    <w:rsid w:val="00E23A10"/>
    <w:rsid w:val="00E23EE6"/>
    <w:rsid w:val="00E24127"/>
    <w:rsid w:val="00E2465D"/>
    <w:rsid w:val="00E24C8D"/>
    <w:rsid w:val="00E24FFB"/>
    <w:rsid w:val="00E250E1"/>
    <w:rsid w:val="00E2570E"/>
    <w:rsid w:val="00E25872"/>
    <w:rsid w:val="00E25A51"/>
    <w:rsid w:val="00E25EB7"/>
    <w:rsid w:val="00E260A0"/>
    <w:rsid w:val="00E262D7"/>
    <w:rsid w:val="00E26476"/>
    <w:rsid w:val="00E2670D"/>
    <w:rsid w:val="00E26B4A"/>
    <w:rsid w:val="00E26DA0"/>
    <w:rsid w:val="00E275BA"/>
    <w:rsid w:val="00E27E44"/>
    <w:rsid w:val="00E3008D"/>
    <w:rsid w:val="00E301C2"/>
    <w:rsid w:val="00E304E1"/>
    <w:rsid w:val="00E309DA"/>
    <w:rsid w:val="00E30B37"/>
    <w:rsid w:val="00E31304"/>
    <w:rsid w:val="00E318C2"/>
    <w:rsid w:val="00E31B26"/>
    <w:rsid w:val="00E3261E"/>
    <w:rsid w:val="00E32AA8"/>
    <w:rsid w:val="00E3318D"/>
    <w:rsid w:val="00E33385"/>
    <w:rsid w:val="00E336BE"/>
    <w:rsid w:val="00E33853"/>
    <w:rsid w:val="00E33F90"/>
    <w:rsid w:val="00E33FA1"/>
    <w:rsid w:val="00E34314"/>
    <w:rsid w:val="00E3470F"/>
    <w:rsid w:val="00E350F5"/>
    <w:rsid w:val="00E35A33"/>
    <w:rsid w:val="00E35C6D"/>
    <w:rsid w:val="00E35F9A"/>
    <w:rsid w:val="00E364F0"/>
    <w:rsid w:val="00E36799"/>
    <w:rsid w:val="00E36A47"/>
    <w:rsid w:val="00E36FAA"/>
    <w:rsid w:val="00E3707E"/>
    <w:rsid w:val="00E3717C"/>
    <w:rsid w:val="00E37239"/>
    <w:rsid w:val="00E37576"/>
    <w:rsid w:val="00E407BB"/>
    <w:rsid w:val="00E4113C"/>
    <w:rsid w:val="00E41D3F"/>
    <w:rsid w:val="00E42221"/>
    <w:rsid w:val="00E42405"/>
    <w:rsid w:val="00E42F33"/>
    <w:rsid w:val="00E4404B"/>
    <w:rsid w:val="00E44514"/>
    <w:rsid w:val="00E44630"/>
    <w:rsid w:val="00E44AF8"/>
    <w:rsid w:val="00E44DC6"/>
    <w:rsid w:val="00E44E25"/>
    <w:rsid w:val="00E44E2B"/>
    <w:rsid w:val="00E45354"/>
    <w:rsid w:val="00E45AE6"/>
    <w:rsid w:val="00E45C44"/>
    <w:rsid w:val="00E45D44"/>
    <w:rsid w:val="00E47619"/>
    <w:rsid w:val="00E5050A"/>
    <w:rsid w:val="00E50B8B"/>
    <w:rsid w:val="00E50C2F"/>
    <w:rsid w:val="00E513F1"/>
    <w:rsid w:val="00E5154C"/>
    <w:rsid w:val="00E51665"/>
    <w:rsid w:val="00E5172E"/>
    <w:rsid w:val="00E5190F"/>
    <w:rsid w:val="00E5200E"/>
    <w:rsid w:val="00E5205F"/>
    <w:rsid w:val="00E522A8"/>
    <w:rsid w:val="00E52BA0"/>
    <w:rsid w:val="00E5333A"/>
    <w:rsid w:val="00E534F5"/>
    <w:rsid w:val="00E5378C"/>
    <w:rsid w:val="00E53E92"/>
    <w:rsid w:val="00E545BC"/>
    <w:rsid w:val="00E549E5"/>
    <w:rsid w:val="00E54D1A"/>
    <w:rsid w:val="00E55866"/>
    <w:rsid w:val="00E55B8A"/>
    <w:rsid w:val="00E5608C"/>
    <w:rsid w:val="00E5650E"/>
    <w:rsid w:val="00E56762"/>
    <w:rsid w:val="00E56F4A"/>
    <w:rsid w:val="00E5779D"/>
    <w:rsid w:val="00E57F40"/>
    <w:rsid w:val="00E6002C"/>
    <w:rsid w:val="00E6019F"/>
    <w:rsid w:val="00E60416"/>
    <w:rsid w:val="00E605AC"/>
    <w:rsid w:val="00E609DD"/>
    <w:rsid w:val="00E61430"/>
    <w:rsid w:val="00E61ED7"/>
    <w:rsid w:val="00E623D1"/>
    <w:rsid w:val="00E6253D"/>
    <w:rsid w:val="00E629AF"/>
    <w:rsid w:val="00E6305E"/>
    <w:rsid w:val="00E647B0"/>
    <w:rsid w:val="00E6545D"/>
    <w:rsid w:val="00E656D9"/>
    <w:rsid w:val="00E65C22"/>
    <w:rsid w:val="00E65F8D"/>
    <w:rsid w:val="00E6610A"/>
    <w:rsid w:val="00E66291"/>
    <w:rsid w:val="00E6645D"/>
    <w:rsid w:val="00E664E2"/>
    <w:rsid w:val="00E67174"/>
    <w:rsid w:val="00E679FF"/>
    <w:rsid w:val="00E70B36"/>
    <w:rsid w:val="00E71592"/>
    <w:rsid w:val="00E71CB1"/>
    <w:rsid w:val="00E7213B"/>
    <w:rsid w:val="00E7218F"/>
    <w:rsid w:val="00E72471"/>
    <w:rsid w:val="00E7260C"/>
    <w:rsid w:val="00E72EEC"/>
    <w:rsid w:val="00E730A6"/>
    <w:rsid w:val="00E73295"/>
    <w:rsid w:val="00E739C7"/>
    <w:rsid w:val="00E742A2"/>
    <w:rsid w:val="00E744AE"/>
    <w:rsid w:val="00E747D9"/>
    <w:rsid w:val="00E74AB9"/>
    <w:rsid w:val="00E75394"/>
    <w:rsid w:val="00E75DB3"/>
    <w:rsid w:val="00E75ECE"/>
    <w:rsid w:val="00E76028"/>
    <w:rsid w:val="00E7611D"/>
    <w:rsid w:val="00E76140"/>
    <w:rsid w:val="00E76D2C"/>
    <w:rsid w:val="00E77379"/>
    <w:rsid w:val="00E775A7"/>
    <w:rsid w:val="00E778DC"/>
    <w:rsid w:val="00E77E2A"/>
    <w:rsid w:val="00E800A8"/>
    <w:rsid w:val="00E8057A"/>
    <w:rsid w:val="00E80972"/>
    <w:rsid w:val="00E8163B"/>
    <w:rsid w:val="00E81911"/>
    <w:rsid w:val="00E81A3B"/>
    <w:rsid w:val="00E81CAC"/>
    <w:rsid w:val="00E81D2A"/>
    <w:rsid w:val="00E82DC5"/>
    <w:rsid w:val="00E83EED"/>
    <w:rsid w:val="00E84234"/>
    <w:rsid w:val="00E84555"/>
    <w:rsid w:val="00E84ADF"/>
    <w:rsid w:val="00E84EB9"/>
    <w:rsid w:val="00E85406"/>
    <w:rsid w:val="00E8583C"/>
    <w:rsid w:val="00E85986"/>
    <w:rsid w:val="00E85D3C"/>
    <w:rsid w:val="00E860FB"/>
    <w:rsid w:val="00E869CE"/>
    <w:rsid w:val="00E86F7C"/>
    <w:rsid w:val="00E8717C"/>
    <w:rsid w:val="00E8717E"/>
    <w:rsid w:val="00E873E0"/>
    <w:rsid w:val="00E87FD0"/>
    <w:rsid w:val="00E903B4"/>
    <w:rsid w:val="00E9067A"/>
    <w:rsid w:val="00E90C7B"/>
    <w:rsid w:val="00E90F8A"/>
    <w:rsid w:val="00E9189D"/>
    <w:rsid w:val="00E920AA"/>
    <w:rsid w:val="00E92DA4"/>
    <w:rsid w:val="00E93DAA"/>
    <w:rsid w:val="00E93FDD"/>
    <w:rsid w:val="00E949E6"/>
    <w:rsid w:val="00E95162"/>
    <w:rsid w:val="00E95238"/>
    <w:rsid w:val="00E9527A"/>
    <w:rsid w:val="00E952FD"/>
    <w:rsid w:val="00E953BA"/>
    <w:rsid w:val="00E96CD3"/>
    <w:rsid w:val="00E96E5A"/>
    <w:rsid w:val="00E970DC"/>
    <w:rsid w:val="00E97236"/>
    <w:rsid w:val="00E9727E"/>
    <w:rsid w:val="00E976FD"/>
    <w:rsid w:val="00EA0175"/>
    <w:rsid w:val="00EA0563"/>
    <w:rsid w:val="00EA1CC5"/>
    <w:rsid w:val="00EA1D67"/>
    <w:rsid w:val="00EA1F1F"/>
    <w:rsid w:val="00EA24AF"/>
    <w:rsid w:val="00EA2AE5"/>
    <w:rsid w:val="00EA3114"/>
    <w:rsid w:val="00EA3129"/>
    <w:rsid w:val="00EA3631"/>
    <w:rsid w:val="00EA3750"/>
    <w:rsid w:val="00EA3A9A"/>
    <w:rsid w:val="00EA3B1E"/>
    <w:rsid w:val="00EA41B8"/>
    <w:rsid w:val="00EA4897"/>
    <w:rsid w:val="00EA48C2"/>
    <w:rsid w:val="00EA4E19"/>
    <w:rsid w:val="00EA5012"/>
    <w:rsid w:val="00EA568C"/>
    <w:rsid w:val="00EA5BF4"/>
    <w:rsid w:val="00EA60B8"/>
    <w:rsid w:val="00EA60C1"/>
    <w:rsid w:val="00EA67C7"/>
    <w:rsid w:val="00EA722A"/>
    <w:rsid w:val="00EA7333"/>
    <w:rsid w:val="00EB0D1A"/>
    <w:rsid w:val="00EB1111"/>
    <w:rsid w:val="00EB156D"/>
    <w:rsid w:val="00EB18B8"/>
    <w:rsid w:val="00EB22D6"/>
    <w:rsid w:val="00EB27F6"/>
    <w:rsid w:val="00EB2D02"/>
    <w:rsid w:val="00EB30BF"/>
    <w:rsid w:val="00EB31C5"/>
    <w:rsid w:val="00EB3360"/>
    <w:rsid w:val="00EB353C"/>
    <w:rsid w:val="00EB3AB8"/>
    <w:rsid w:val="00EB41A7"/>
    <w:rsid w:val="00EB4948"/>
    <w:rsid w:val="00EB4B7A"/>
    <w:rsid w:val="00EB51F0"/>
    <w:rsid w:val="00EB54FE"/>
    <w:rsid w:val="00EB65A6"/>
    <w:rsid w:val="00EB6863"/>
    <w:rsid w:val="00EB6CCE"/>
    <w:rsid w:val="00EC0CC0"/>
    <w:rsid w:val="00EC0D35"/>
    <w:rsid w:val="00EC2D0E"/>
    <w:rsid w:val="00EC37A9"/>
    <w:rsid w:val="00EC4BCF"/>
    <w:rsid w:val="00EC4CD0"/>
    <w:rsid w:val="00EC5277"/>
    <w:rsid w:val="00EC532C"/>
    <w:rsid w:val="00EC5596"/>
    <w:rsid w:val="00EC6A03"/>
    <w:rsid w:val="00EC709A"/>
    <w:rsid w:val="00EC723E"/>
    <w:rsid w:val="00EC7586"/>
    <w:rsid w:val="00EC785D"/>
    <w:rsid w:val="00EC78D5"/>
    <w:rsid w:val="00EC7900"/>
    <w:rsid w:val="00EC7B1A"/>
    <w:rsid w:val="00EC7BF0"/>
    <w:rsid w:val="00ED0336"/>
    <w:rsid w:val="00ED068F"/>
    <w:rsid w:val="00ED0E41"/>
    <w:rsid w:val="00ED1121"/>
    <w:rsid w:val="00ED1823"/>
    <w:rsid w:val="00ED1A88"/>
    <w:rsid w:val="00ED1ADE"/>
    <w:rsid w:val="00ED1C98"/>
    <w:rsid w:val="00ED247A"/>
    <w:rsid w:val="00ED2511"/>
    <w:rsid w:val="00ED283F"/>
    <w:rsid w:val="00ED2D1C"/>
    <w:rsid w:val="00ED2E2E"/>
    <w:rsid w:val="00ED2E5E"/>
    <w:rsid w:val="00ED30E6"/>
    <w:rsid w:val="00ED34A7"/>
    <w:rsid w:val="00ED34D8"/>
    <w:rsid w:val="00ED3542"/>
    <w:rsid w:val="00ED3B04"/>
    <w:rsid w:val="00ED3D06"/>
    <w:rsid w:val="00ED509D"/>
    <w:rsid w:val="00ED52CC"/>
    <w:rsid w:val="00ED5C07"/>
    <w:rsid w:val="00ED67D8"/>
    <w:rsid w:val="00ED7302"/>
    <w:rsid w:val="00ED7462"/>
    <w:rsid w:val="00ED77B9"/>
    <w:rsid w:val="00ED7FB3"/>
    <w:rsid w:val="00EE01DB"/>
    <w:rsid w:val="00EE09A7"/>
    <w:rsid w:val="00EE0F4A"/>
    <w:rsid w:val="00EE1B70"/>
    <w:rsid w:val="00EE212F"/>
    <w:rsid w:val="00EE214C"/>
    <w:rsid w:val="00EE2416"/>
    <w:rsid w:val="00EE257D"/>
    <w:rsid w:val="00EE28B3"/>
    <w:rsid w:val="00EE2F15"/>
    <w:rsid w:val="00EE36CB"/>
    <w:rsid w:val="00EE4371"/>
    <w:rsid w:val="00EE482D"/>
    <w:rsid w:val="00EE4EE7"/>
    <w:rsid w:val="00EE541E"/>
    <w:rsid w:val="00EE5517"/>
    <w:rsid w:val="00EE5764"/>
    <w:rsid w:val="00EE6138"/>
    <w:rsid w:val="00EE6313"/>
    <w:rsid w:val="00EE6C3F"/>
    <w:rsid w:val="00EE717B"/>
    <w:rsid w:val="00EE78CB"/>
    <w:rsid w:val="00EF05D6"/>
    <w:rsid w:val="00EF0FF8"/>
    <w:rsid w:val="00EF1506"/>
    <w:rsid w:val="00EF15EE"/>
    <w:rsid w:val="00EF1EE3"/>
    <w:rsid w:val="00EF1F3B"/>
    <w:rsid w:val="00EF200E"/>
    <w:rsid w:val="00EF24E3"/>
    <w:rsid w:val="00EF25A5"/>
    <w:rsid w:val="00EF263B"/>
    <w:rsid w:val="00EF27BB"/>
    <w:rsid w:val="00EF3246"/>
    <w:rsid w:val="00EF3914"/>
    <w:rsid w:val="00EF43C4"/>
    <w:rsid w:val="00EF4874"/>
    <w:rsid w:val="00EF4A30"/>
    <w:rsid w:val="00EF4B0C"/>
    <w:rsid w:val="00EF4C02"/>
    <w:rsid w:val="00EF5022"/>
    <w:rsid w:val="00EF5522"/>
    <w:rsid w:val="00EF5685"/>
    <w:rsid w:val="00EF57CB"/>
    <w:rsid w:val="00EF5FDC"/>
    <w:rsid w:val="00EF6222"/>
    <w:rsid w:val="00EF64C1"/>
    <w:rsid w:val="00EF64E1"/>
    <w:rsid w:val="00EF6AF3"/>
    <w:rsid w:val="00EF7536"/>
    <w:rsid w:val="00EF78D5"/>
    <w:rsid w:val="00EF7BF3"/>
    <w:rsid w:val="00F004B4"/>
    <w:rsid w:val="00F00562"/>
    <w:rsid w:val="00F0066C"/>
    <w:rsid w:val="00F00880"/>
    <w:rsid w:val="00F00C0E"/>
    <w:rsid w:val="00F00C3C"/>
    <w:rsid w:val="00F015F9"/>
    <w:rsid w:val="00F018F8"/>
    <w:rsid w:val="00F01F38"/>
    <w:rsid w:val="00F01F67"/>
    <w:rsid w:val="00F02333"/>
    <w:rsid w:val="00F02369"/>
    <w:rsid w:val="00F035B5"/>
    <w:rsid w:val="00F038E6"/>
    <w:rsid w:val="00F03A16"/>
    <w:rsid w:val="00F043A2"/>
    <w:rsid w:val="00F043F7"/>
    <w:rsid w:val="00F04600"/>
    <w:rsid w:val="00F049B7"/>
    <w:rsid w:val="00F04A73"/>
    <w:rsid w:val="00F04BE2"/>
    <w:rsid w:val="00F04EDE"/>
    <w:rsid w:val="00F04F70"/>
    <w:rsid w:val="00F04FC3"/>
    <w:rsid w:val="00F050CA"/>
    <w:rsid w:val="00F055F0"/>
    <w:rsid w:val="00F05BAE"/>
    <w:rsid w:val="00F0626E"/>
    <w:rsid w:val="00F063C4"/>
    <w:rsid w:val="00F06957"/>
    <w:rsid w:val="00F069C5"/>
    <w:rsid w:val="00F06A68"/>
    <w:rsid w:val="00F06B61"/>
    <w:rsid w:val="00F06E3B"/>
    <w:rsid w:val="00F07647"/>
    <w:rsid w:val="00F07BD7"/>
    <w:rsid w:val="00F07D70"/>
    <w:rsid w:val="00F10527"/>
    <w:rsid w:val="00F10749"/>
    <w:rsid w:val="00F10A5A"/>
    <w:rsid w:val="00F10C7C"/>
    <w:rsid w:val="00F12B95"/>
    <w:rsid w:val="00F13099"/>
    <w:rsid w:val="00F133D0"/>
    <w:rsid w:val="00F140C5"/>
    <w:rsid w:val="00F143DB"/>
    <w:rsid w:val="00F145E1"/>
    <w:rsid w:val="00F14784"/>
    <w:rsid w:val="00F14A40"/>
    <w:rsid w:val="00F14D60"/>
    <w:rsid w:val="00F1513B"/>
    <w:rsid w:val="00F1548C"/>
    <w:rsid w:val="00F15499"/>
    <w:rsid w:val="00F15872"/>
    <w:rsid w:val="00F15AEC"/>
    <w:rsid w:val="00F15AED"/>
    <w:rsid w:val="00F16376"/>
    <w:rsid w:val="00F16F22"/>
    <w:rsid w:val="00F171F6"/>
    <w:rsid w:val="00F17689"/>
    <w:rsid w:val="00F17DBF"/>
    <w:rsid w:val="00F20169"/>
    <w:rsid w:val="00F204C4"/>
    <w:rsid w:val="00F20531"/>
    <w:rsid w:val="00F210AD"/>
    <w:rsid w:val="00F211E8"/>
    <w:rsid w:val="00F215AB"/>
    <w:rsid w:val="00F218E8"/>
    <w:rsid w:val="00F21963"/>
    <w:rsid w:val="00F21CA1"/>
    <w:rsid w:val="00F2209C"/>
    <w:rsid w:val="00F2213A"/>
    <w:rsid w:val="00F22515"/>
    <w:rsid w:val="00F22765"/>
    <w:rsid w:val="00F2276B"/>
    <w:rsid w:val="00F227CF"/>
    <w:rsid w:val="00F228EB"/>
    <w:rsid w:val="00F22912"/>
    <w:rsid w:val="00F22DA2"/>
    <w:rsid w:val="00F23E9F"/>
    <w:rsid w:val="00F24250"/>
    <w:rsid w:val="00F24389"/>
    <w:rsid w:val="00F243EE"/>
    <w:rsid w:val="00F24662"/>
    <w:rsid w:val="00F24B18"/>
    <w:rsid w:val="00F24C6B"/>
    <w:rsid w:val="00F24D45"/>
    <w:rsid w:val="00F25056"/>
    <w:rsid w:val="00F2537A"/>
    <w:rsid w:val="00F25B5C"/>
    <w:rsid w:val="00F25D49"/>
    <w:rsid w:val="00F26026"/>
    <w:rsid w:val="00F276EF"/>
    <w:rsid w:val="00F27D3B"/>
    <w:rsid w:val="00F3002C"/>
    <w:rsid w:val="00F3031A"/>
    <w:rsid w:val="00F306A3"/>
    <w:rsid w:val="00F3100A"/>
    <w:rsid w:val="00F310D7"/>
    <w:rsid w:val="00F3156E"/>
    <w:rsid w:val="00F3192B"/>
    <w:rsid w:val="00F31CAC"/>
    <w:rsid w:val="00F31F0A"/>
    <w:rsid w:val="00F3265A"/>
    <w:rsid w:val="00F32CB8"/>
    <w:rsid w:val="00F33936"/>
    <w:rsid w:val="00F33F7F"/>
    <w:rsid w:val="00F34127"/>
    <w:rsid w:val="00F3486D"/>
    <w:rsid w:val="00F348D8"/>
    <w:rsid w:val="00F35B8A"/>
    <w:rsid w:val="00F36002"/>
    <w:rsid w:val="00F36418"/>
    <w:rsid w:val="00F36D09"/>
    <w:rsid w:val="00F37044"/>
    <w:rsid w:val="00F3730A"/>
    <w:rsid w:val="00F3792F"/>
    <w:rsid w:val="00F37D4A"/>
    <w:rsid w:val="00F37DB7"/>
    <w:rsid w:val="00F37E38"/>
    <w:rsid w:val="00F37F8C"/>
    <w:rsid w:val="00F4062E"/>
    <w:rsid w:val="00F407BF"/>
    <w:rsid w:val="00F4081A"/>
    <w:rsid w:val="00F41364"/>
    <w:rsid w:val="00F41528"/>
    <w:rsid w:val="00F415EC"/>
    <w:rsid w:val="00F41828"/>
    <w:rsid w:val="00F41BA9"/>
    <w:rsid w:val="00F4259B"/>
    <w:rsid w:val="00F42C64"/>
    <w:rsid w:val="00F42D28"/>
    <w:rsid w:val="00F43650"/>
    <w:rsid w:val="00F43B10"/>
    <w:rsid w:val="00F43C9E"/>
    <w:rsid w:val="00F43F4E"/>
    <w:rsid w:val="00F44402"/>
    <w:rsid w:val="00F446C6"/>
    <w:rsid w:val="00F44786"/>
    <w:rsid w:val="00F448C4"/>
    <w:rsid w:val="00F44C0C"/>
    <w:rsid w:val="00F44FAE"/>
    <w:rsid w:val="00F45280"/>
    <w:rsid w:val="00F4572C"/>
    <w:rsid w:val="00F45CD4"/>
    <w:rsid w:val="00F461E7"/>
    <w:rsid w:val="00F4676B"/>
    <w:rsid w:val="00F46981"/>
    <w:rsid w:val="00F46A61"/>
    <w:rsid w:val="00F46B29"/>
    <w:rsid w:val="00F470D9"/>
    <w:rsid w:val="00F4715B"/>
    <w:rsid w:val="00F475D7"/>
    <w:rsid w:val="00F47934"/>
    <w:rsid w:val="00F47990"/>
    <w:rsid w:val="00F47E0A"/>
    <w:rsid w:val="00F47F19"/>
    <w:rsid w:val="00F500A8"/>
    <w:rsid w:val="00F50C23"/>
    <w:rsid w:val="00F50FDB"/>
    <w:rsid w:val="00F517C6"/>
    <w:rsid w:val="00F51913"/>
    <w:rsid w:val="00F51962"/>
    <w:rsid w:val="00F51DB1"/>
    <w:rsid w:val="00F51FA3"/>
    <w:rsid w:val="00F52A26"/>
    <w:rsid w:val="00F52AF8"/>
    <w:rsid w:val="00F52ECC"/>
    <w:rsid w:val="00F53157"/>
    <w:rsid w:val="00F53A0E"/>
    <w:rsid w:val="00F545AC"/>
    <w:rsid w:val="00F546C5"/>
    <w:rsid w:val="00F55145"/>
    <w:rsid w:val="00F55851"/>
    <w:rsid w:val="00F55A59"/>
    <w:rsid w:val="00F55E2D"/>
    <w:rsid w:val="00F55E88"/>
    <w:rsid w:val="00F56040"/>
    <w:rsid w:val="00F562C8"/>
    <w:rsid w:val="00F56924"/>
    <w:rsid w:val="00F5692A"/>
    <w:rsid w:val="00F56A9F"/>
    <w:rsid w:val="00F56B55"/>
    <w:rsid w:val="00F5758B"/>
    <w:rsid w:val="00F57881"/>
    <w:rsid w:val="00F578A6"/>
    <w:rsid w:val="00F57A34"/>
    <w:rsid w:val="00F60327"/>
    <w:rsid w:val="00F60410"/>
    <w:rsid w:val="00F604F8"/>
    <w:rsid w:val="00F60A16"/>
    <w:rsid w:val="00F61048"/>
    <w:rsid w:val="00F6181A"/>
    <w:rsid w:val="00F61CC9"/>
    <w:rsid w:val="00F64282"/>
    <w:rsid w:val="00F648DC"/>
    <w:rsid w:val="00F6490D"/>
    <w:rsid w:val="00F64DC9"/>
    <w:rsid w:val="00F655CA"/>
    <w:rsid w:val="00F656A7"/>
    <w:rsid w:val="00F65E93"/>
    <w:rsid w:val="00F66485"/>
    <w:rsid w:val="00F6650E"/>
    <w:rsid w:val="00F66C63"/>
    <w:rsid w:val="00F66DFA"/>
    <w:rsid w:val="00F67ABB"/>
    <w:rsid w:val="00F67F69"/>
    <w:rsid w:val="00F700EC"/>
    <w:rsid w:val="00F707CE"/>
    <w:rsid w:val="00F70C41"/>
    <w:rsid w:val="00F70D9C"/>
    <w:rsid w:val="00F70E17"/>
    <w:rsid w:val="00F70E3F"/>
    <w:rsid w:val="00F70E88"/>
    <w:rsid w:val="00F716B7"/>
    <w:rsid w:val="00F71846"/>
    <w:rsid w:val="00F7222F"/>
    <w:rsid w:val="00F7282D"/>
    <w:rsid w:val="00F73515"/>
    <w:rsid w:val="00F73A9A"/>
    <w:rsid w:val="00F73CE5"/>
    <w:rsid w:val="00F7454C"/>
    <w:rsid w:val="00F74849"/>
    <w:rsid w:val="00F74C12"/>
    <w:rsid w:val="00F74CD1"/>
    <w:rsid w:val="00F74E9E"/>
    <w:rsid w:val="00F75416"/>
    <w:rsid w:val="00F7569C"/>
    <w:rsid w:val="00F75831"/>
    <w:rsid w:val="00F75998"/>
    <w:rsid w:val="00F75B06"/>
    <w:rsid w:val="00F7646E"/>
    <w:rsid w:val="00F76759"/>
    <w:rsid w:val="00F768D2"/>
    <w:rsid w:val="00F76E32"/>
    <w:rsid w:val="00F7758E"/>
    <w:rsid w:val="00F775C0"/>
    <w:rsid w:val="00F77735"/>
    <w:rsid w:val="00F77991"/>
    <w:rsid w:val="00F77A92"/>
    <w:rsid w:val="00F77C5E"/>
    <w:rsid w:val="00F80E67"/>
    <w:rsid w:val="00F81282"/>
    <w:rsid w:val="00F82F5E"/>
    <w:rsid w:val="00F835DC"/>
    <w:rsid w:val="00F83719"/>
    <w:rsid w:val="00F83A82"/>
    <w:rsid w:val="00F84125"/>
    <w:rsid w:val="00F84BAE"/>
    <w:rsid w:val="00F84D99"/>
    <w:rsid w:val="00F84E1F"/>
    <w:rsid w:val="00F85466"/>
    <w:rsid w:val="00F855AA"/>
    <w:rsid w:val="00F8643B"/>
    <w:rsid w:val="00F86506"/>
    <w:rsid w:val="00F8675C"/>
    <w:rsid w:val="00F873C0"/>
    <w:rsid w:val="00F87780"/>
    <w:rsid w:val="00F87B9C"/>
    <w:rsid w:val="00F87BAA"/>
    <w:rsid w:val="00F87D5E"/>
    <w:rsid w:val="00F902C5"/>
    <w:rsid w:val="00F9091F"/>
    <w:rsid w:val="00F90CE9"/>
    <w:rsid w:val="00F9114F"/>
    <w:rsid w:val="00F91891"/>
    <w:rsid w:val="00F91A70"/>
    <w:rsid w:val="00F91EF3"/>
    <w:rsid w:val="00F93A78"/>
    <w:rsid w:val="00F93AB4"/>
    <w:rsid w:val="00F93B08"/>
    <w:rsid w:val="00F945D5"/>
    <w:rsid w:val="00F946E3"/>
    <w:rsid w:val="00F95BF5"/>
    <w:rsid w:val="00F960B6"/>
    <w:rsid w:val="00F967EF"/>
    <w:rsid w:val="00F97081"/>
    <w:rsid w:val="00F9709C"/>
    <w:rsid w:val="00F97105"/>
    <w:rsid w:val="00F971EF"/>
    <w:rsid w:val="00F97285"/>
    <w:rsid w:val="00F97366"/>
    <w:rsid w:val="00F979DD"/>
    <w:rsid w:val="00F97B08"/>
    <w:rsid w:val="00F97B1D"/>
    <w:rsid w:val="00F97C40"/>
    <w:rsid w:val="00FA02AB"/>
    <w:rsid w:val="00FA100A"/>
    <w:rsid w:val="00FA1169"/>
    <w:rsid w:val="00FA11F4"/>
    <w:rsid w:val="00FA1205"/>
    <w:rsid w:val="00FA18BA"/>
    <w:rsid w:val="00FA1DD9"/>
    <w:rsid w:val="00FA1EC9"/>
    <w:rsid w:val="00FA1EE8"/>
    <w:rsid w:val="00FA24A5"/>
    <w:rsid w:val="00FA2F31"/>
    <w:rsid w:val="00FA34BE"/>
    <w:rsid w:val="00FA35F0"/>
    <w:rsid w:val="00FA36DC"/>
    <w:rsid w:val="00FA3BD0"/>
    <w:rsid w:val="00FA41CA"/>
    <w:rsid w:val="00FA462B"/>
    <w:rsid w:val="00FA557E"/>
    <w:rsid w:val="00FA565B"/>
    <w:rsid w:val="00FA5CFA"/>
    <w:rsid w:val="00FA61A5"/>
    <w:rsid w:val="00FA6213"/>
    <w:rsid w:val="00FA626B"/>
    <w:rsid w:val="00FA6370"/>
    <w:rsid w:val="00FA6431"/>
    <w:rsid w:val="00FA652A"/>
    <w:rsid w:val="00FA66E0"/>
    <w:rsid w:val="00FA6903"/>
    <w:rsid w:val="00FA6AC7"/>
    <w:rsid w:val="00FA6CAD"/>
    <w:rsid w:val="00FA732B"/>
    <w:rsid w:val="00FA7974"/>
    <w:rsid w:val="00FA7C72"/>
    <w:rsid w:val="00FB03F7"/>
    <w:rsid w:val="00FB08CE"/>
    <w:rsid w:val="00FB0E9B"/>
    <w:rsid w:val="00FB10A7"/>
    <w:rsid w:val="00FB110C"/>
    <w:rsid w:val="00FB156E"/>
    <w:rsid w:val="00FB1590"/>
    <w:rsid w:val="00FB169B"/>
    <w:rsid w:val="00FB19E3"/>
    <w:rsid w:val="00FB1A00"/>
    <w:rsid w:val="00FB1B06"/>
    <w:rsid w:val="00FB21EF"/>
    <w:rsid w:val="00FB2B2D"/>
    <w:rsid w:val="00FB2FC5"/>
    <w:rsid w:val="00FB31DF"/>
    <w:rsid w:val="00FB3579"/>
    <w:rsid w:val="00FB3590"/>
    <w:rsid w:val="00FB39E9"/>
    <w:rsid w:val="00FB3D96"/>
    <w:rsid w:val="00FB43CB"/>
    <w:rsid w:val="00FB464C"/>
    <w:rsid w:val="00FB4A7C"/>
    <w:rsid w:val="00FB4B69"/>
    <w:rsid w:val="00FB4C20"/>
    <w:rsid w:val="00FB51B8"/>
    <w:rsid w:val="00FB5251"/>
    <w:rsid w:val="00FB603E"/>
    <w:rsid w:val="00FB6E8D"/>
    <w:rsid w:val="00FB7322"/>
    <w:rsid w:val="00FB73E3"/>
    <w:rsid w:val="00FB7A5B"/>
    <w:rsid w:val="00FC03B2"/>
    <w:rsid w:val="00FC0C43"/>
    <w:rsid w:val="00FC0EEE"/>
    <w:rsid w:val="00FC1118"/>
    <w:rsid w:val="00FC21ED"/>
    <w:rsid w:val="00FC2482"/>
    <w:rsid w:val="00FC2C8B"/>
    <w:rsid w:val="00FC2CF9"/>
    <w:rsid w:val="00FC3DED"/>
    <w:rsid w:val="00FC3E94"/>
    <w:rsid w:val="00FC47E0"/>
    <w:rsid w:val="00FC5271"/>
    <w:rsid w:val="00FC5AEB"/>
    <w:rsid w:val="00FC5AFB"/>
    <w:rsid w:val="00FC5DA5"/>
    <w:rsid w:val="00FC5E7E"/>
    <w:rsid w:val="00FC687F"/>
    <w:rsid w:val="00FC6C0F"/>
    <w:rsid w:val="00FC73A9"/>
    <w:rsid w:val="00FC7CC7"/>
    <w:rsid w:val="00FC7F14"/>
    <w:rsid w:val="00FD05D1"/>
    <w:rsid w:val="00FD06DB"/>
    <w:rsid w:val="00FD19A5"/>
    <w:rsid w:val="00FD2B00"/>
    <w:rsid w:val="00FD3187"/>
    <w:rsid w:val="00FD35BF"/>
    <w:rsid w:val="00FD4407"/>
    <w:rsid w:val="00FD4690"/>
    <w:rsid w:val="00FD4FE4"/>
    <w:rsid w:val="00FD50E5"/>
    <w:rsid w:val="00FD54CE"/>
    <w:rsid w:val="00FD5E47"/>
    <w:rsid w:val="00FD7056"/>
    <w:rsid w:val="00FD707E"/>
    <w:rsid w:val="00FD713C"/>
    <w:rsid w:val="00FD7339"/>
    <w:rsid w:val="00FD783F"/>
    <w:rsid w:val="00FD7D64"/>
    <w:rsid w:val="00FE1656"/>
    <w:rsid w:val="00FE1C05"/>
    <w:rsid w:val="00FE1D53"/>
    <w:rsid w:val="00FE1E6E"/>
    <w:rsid w:val="00FE2A3B"/>
    <w:rsid w:val="00FE370F"/>
    <w:rsid w:val="00FE3A41"/>
    <w:rsid w:val="00FE4089"/>
    <w:rsid w:val="00FE44A2"/>
    <w:rsid w:val="00FE46A8"/>
    <w:rsid w:val="00FE4D66"/>
    <w:rsid w:val="00FE5905"/>
    <w:rsid w:val="00FE5FAC"/>
    <w:rsid w:val="00FE618E"/>
    <w:rsid w:val="00FE79CF"/>
    <w:rsid w:val="00FE7AB4"/>
    <w:rsid w:val="00FE7E22"/>
    <w:rsid w:val="00FF0719"/>
    <w:rsid w:val="00FF0D52"/>
    <w:rsid w:val="00FF0D81"/>
    <w:rsid w:val="00FF0DEE"/>
    <w:rsid w:val="00FF104A"/>
    <w:rsid w:val="00FF1348"/>
    <w:rsid w:val="00FF1AB2"/>
    <w:rsid w:val="00FF1ED4"/>
    <w:rsid w:val="00FF2803"/>
    <w:rsid w:val="00FF297B"/>
    <w:rsid w:val="00FF2985"/>
    <w:rsid w:val="00FF2DF0"/>
    <w:rsid w:val="00FF3A32"/>
    <w:rsid w:val="00FF3BA8"/>
    <w:rsid w:val="00FF4243"/>
    <w:rsid w:val="00FF49A7"/>
    <w:rsid w:val="00FF4EDC"/>
    <w:rsid w:val="00FF5245"/>
    <w:rsid w:val="00FF54A2"/>
    <w:rsid w:val="00FF5570"/>
    <w:rsid w:val="00FF5696"/>
    <w:rsid w:val="00FF5BF1"/>
    <w:rsid w:val="00FF5DE1"/>
    <w:rsid w:val="00FF5EA5"/>
    <w:rsid w:val="00FF65F4"/>
    <w:rsid w:val="00FF6A0E"/>
    <w:rsid w:val="00FF6B29"/>
    <w:rsid w:val="00FF6BF3"/>
    <w:rsid w:val="00FF70B7"/>
    <w:rsid w:val="00FF71F2"/>
    <w:rsid w:val="00FF7BB7"/>
    <w:rsid w:val="00FF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f5f5f5,#e0e0e0,#cdcdcd,#aeaeae"/>
    </o:shapedefaults>
    <o:shapelayout v:ext="edit">
      <o:idmap v:ext="edit" data="1"/>
    </o:shapelayout>
  </w:shapeDefaults>
  <w:decimalSymbol w:val=","/>
  <w:listSeparator w:val=";"/>
  <w14:docId w14:val="38A8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tabs>
        <w:tab w:val="clear" w:pos="1692"/>
      </w:tabs>
      <w:spacing w:before="240" w:after="60"/>
      <w:ind w:left="1151" w:hanging="1151"/>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l-GR"/>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l-GR"/>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rPr>
  </w:style>
  <w:style w:type="paragraph" w:styleId="BodyText3">
    <w:name w:val="Body Text 3"/>
    <w:basedOn w:val="Normal"/>
    <w:pPr>
      <w:tabs>
        <w:tab w:val="left" w:pos="1134"/>
        <w:tab w:val="left" w:pos="1701"/>
        <w:tab w:val="left" w:pos="2268"/>
      </w:tabs>
      <w:spacing w:before="120"/>
      <w:ind w:right="-1"/>
    </w:pPr>
    <w:rPr>
      <w:szCs w:val="20"/>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l-GR" w:eastAsia="el-GR" w:bidi="el-GR"/>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rPr>
  </w:style>
  <w:style w:type="paragraph" w:customStyle="1" w:styleId="WP-level1">
    <w:name w:val="WP-level 1"/>
    <w:basedOn w:val="Text1Char"/>
    <w:rsid w:val="00121081"/>
    <w:pPr>
      <w:keepNext/>
      <w:widowControl w:val="0"/>
      <w:spacing w:before="30" w:after="30"/>
      <w:ind w:left="34"/>
      <w:jc w:val="left"/>
    </w:pPr>
    <w:rPr>
      <w:b/>
      <w:color w:val="008000"/>
      <w:sz w:val="20"/>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l-GR" w:eastAsia="el-GR" w:bidi="el-GR"/>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l-GR" w:eastAsia="el-GR" w:bidi="el-GR"/>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l-GR" w:eastAsia="el-GR" w:bidi="el-GR"/>
    </w:rPr>
  </w:style>
  <w:style w:type="character" w:customStyle="1" w:styleId="CommentTextChar">
    <w:name w:val="Comment Text Char"/>
    <w:link w:val="CommentText"/>
    <w:semiHidden/>
    <w:rsid w:val="00ED5C07"/>
    <w:rPr>
      <w:rFonts w:ascii="Arial" w:hAnsi="Arial"/>
      <w:snapToGrid w:val="0"/>
      <w:lang w:eastAsia="el-GR"/>
    </w:rPr>
  </w:style>
  <w:style w:type="character" w:customStyle="1" w:styleId="CharChar">
    <w:name w:val="Char Char"/>
    <w:rsid w:val="00C55E4B"/>
    <w:rPr>
      <w:rFonts w:ascii="Arial" w:hAnsi="Arial"/>
      <w:bCs/>
      <w:i/>
      <w:sz w:val="18"/>
      <w:lang w:val="el-GR" w:eastAsia="el-GR" w:bidi="el-GR"/>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rPr>
  </w:style>
  <w:style w:type="paragraph" w:customStyle="1" w:styleId="TableText">
    <w:name w:val="Table Text"/>
    <w:rsid w:val="00AE1A87"/>
    <w:rPr>
      <w:rFonts w:ascii="Arial" w:hAnsi="Arial"/>
      <w:szCs w:val="24"/>
    </w:rPr>
  </w:style>
  <w:style w:type="paragraph" w:customStyle="1" w:styleId="TableTextBold">
    <w:name w:val="Table Text Bold"/>
    <w:rsid w:val="00AE1A87"/>
    <w:rPr>
      <w:rFonts w:ascii="Arial" w:hAnsi="Arial"/>
      <w:b/>
      <w:szCs w:val="24"/>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rPr>
  </w:style>
  <w:style w:type="character" w:customStyle="1" w:styleId="emcsbodytextCar">
    <w:name w:val="emcs_body_text Car"/>
    <w:link w:val="emcsbodytext"/>
    <w:rsid w:val="00F2213A"/>
    <w:rPr>
      <w:sz w:val="24"/>
      <w:lang w:val="el-GR" w:eastAsia="el-GR" w:bidi="el-GR"/>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l-GR"/>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l-GR"/>
    </w:rPr>
  </w:style>
  <w:style w:type="character" w:customStyle="1" w:styleId="emcsitalic">
    <w:name w:val="emcs_italic"/>
    <w:rsid w:val="004E417F"/>
    <w:rPr>
      <w:i/>
    </w:rPr>
  </w:style>
  <w:style w:type="character" w:customStyle="1" w:styleId="emcsbodytextChar">
    <w:name w:val="emcs_body_text Char"/>
    <w:rsid w:val="00E82DC5"/>
    <w:rPr>
      <w:sz w:val="24"/>
      <w:lang w:val="el-GR" w:eastAsia="el-GR" w:bidi="el-GR"/>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link w:val="HTMLPreformatted"/>
    <w:uiPriority w:val="99"/>
    <w:rsid w:val="00B55568"/>
    <w:rPr>
      <w:rFonts w:ascii="Courier New" w:hAnsi="Courier New" w:cs="Courier New"/>
    </w:rPr>
  </w:style>
  <w:style w:type="table" w:customStyle="1" w:styleId="GridTable5Dark-Accent41">
    <w:name w:val="Grid Table 5 Dark - Accent 41"/>
    <w:basedOn w:val="TableNormal"/>
    <w:uiPriority w:val="50"/>
    <w:rsid w:val="00E75DB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customStyle="1" w:styleId="FooterChar">
    <w:name w:val="Footer Char"/>
    <w:basedOn w:val="DefaultParagraphFont"/>
    <w:link w:val="Footer"/>
    <w:uiPriority w:val="99"/>
    <w:rsid w:val="005A3B41"/>
    <w:rPr>
      <w:rFonts w:ascii="Arial" w:hAnsi="Arial"/>
      <w:sz w:val="18"/>
      <w:szCs w:val="24"/>
      <w:lang w:eastAsia="el-GR"/>
    </w:rPr>
  </w:style>
  <w:style w:type="character" w:customStyle="1" w:styleId="Mention1">
    <w:name w:val="Mention1"/>
    <w:basedOn w:val="DefaultParagraphFont"/>
    <w:uiPriority w:val="99"/>
    <w:semiHidden/>
    <w:unhideWhenUsed/>
    <w:rsid w:val="00AD3A80"/>
    <w:rPr>
      <w:color w:val="2B579A"/>
      <w:shd w:val="clear" w:color="auto" w:fill="E6E6E6"/>
    </w:rPr>
  </w:style>
  <w:style w:type="character" w:customStyle="1" w:styleId="UnresolvedMention1">
    <w:name w:val="Unresolved Mention1"/>
    <w:basedOn w:val="DefaultParagraphFont"/>
    <w:uiPriority w:val="99"/>
    <w:semiHidden/>
    <w:unhideWhenUsed/>
    <w:rsid w:val="00E24FF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tabs>
        <w:tab w:val="clear" w:pos="1692"/>
      </w:tabs>
      <w:spacing w:before="240" w:after="60"/>
      <w:ind w:left="1151" w:hanging="1151"/>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l-GR"/>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l-GR"/>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rPr>
  </w:style>
  <w:style w:type="paragraph" w:styleId="BodyText3">
    <w:name w:val="Body Text 3"/>
    <w:basedOn w:val="Normal"/>
    <w:pPr>
      <w:tabs>
        <w:tab w:val="left" w:pos="1134"/>
        <w:tab w:val="left" w:pos="1701"/>
        <w:tab w:val="left" w:pos="2268"/>
      </w:tabs>
      <w:spacing w:before="120"/>
      <w:ind w:right="-1"/>
    </w:pPr>
    <w:rPr>
      <w:szCs w:val="20"/>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l-GR" w:eastAsia="el-GR" w:bidi="el-GR"/>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rPr>
  </w:style>
  <w:style w:type="paragraph" w:customStyle="1" w:styleId="WP-level1">
    <w:name w:val="WP-level 1"/>
    <w:basedOn w:val="Text1Char"/>
    <w:rsid w:val="00121081"/>
    <w:pPr>
      <w:keepNext/>
      <w:widowControl w:val="0"/>
      <w:spacing w:before="30" w:after="30"/>
      <w:ind w:left="34"/>
      <w:jc w:val="left"/>
    </w:pPr>
    <w:rPr>
      <w:b/>
      <w:color w:val="008000"/>
      <w:sz w:val="20"/>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l-GR" w:eastAsia="el-GR" w:bidi="el-GR"/>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l-GR" w:eastAsia="el-GR" w:bidi="el-GR"/>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l-GR" w:eastAsia="el-GR" w:bidi="el-GR"/>
    </w:rPr>
  </w:style>
  <w:style w:type="character" w:customStyle="1" w:styleId="CommentTextChar">
    <w:name w:val="Comment Text Char"/>
    <w:link w:val="CommentText"/>
    <w:semiHidden/>
    <w:rsid w:val="00ED5C07"/>
    <w:rPr>
      <w:rFonts w:ascii="Arial" w:hAnsi="Arial"/>
      <w:snapToGrid w:val="0"/>
      <w:lang w:eastAsia="el-GR"/>
    </w:rPr>
  </w:style>
  <w:style w:type="character" w:customStyle="1" w:styleId="CharChar">
    <w:name w:val="Char Char"/>
    <w:rsid w:val="00C55E4B"/>
    <w:rPr>
      <w:rFonts w:ascii="Arial" w:hAnsi="Arial"/>
      <w:bCs/>
      <w:i/>
      <w:sz w:val="18"/>
      <w:lang w:val="el-GR" w:eastAsia="el-GR" w:bidi="el-GR"/>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rPr>
  </w:style>
  <w:style w:type="paragraph" w:customStyle="1" w:styleId="TableText">
    <w:name w:val="Table Text"/>
    <w:rsid w:val="00AE1A87"/>
    <w:rPr>
      <w:rFonts w:ascii="Arial" w:hAnsi="Arial"/>
      <w:szCs w:val="24"/>
    </w:rPr>
  </w:style>
  <w:style w:type="paragraph" w:customStyle="1" w:styleId="TableTextBold">
    <w:name w:val="Table Text Bold"/>
    <w:rsid w:val="00AE1A87"/>
    <w:rPr>
      <w:rFonts w:ascii="Arial" w:hAnsi="Arial"/>
      <w:b/>
      <w:szCs w:val="24"/>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rPr>
  </w:style>
  <w:style w:type="character" w:customStyle="1" w:styleId="emcsbodytextCar">
    <w:name w:val="emcs_body_text Car"/>
    <w:link w:val="emcsbodytext"/>
    <w:rsid w:val="00F2213A"/>
    <w:rPr>
      <w:sz w:val="24"/>
      <w:lang w:val="el-GR" w:eastAsia="el-GR" w:bidi="el-GR"/>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l-GR"/>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l-GR"/>
    </w:rPr>
  </w:style>
  <w:style w:type="character" w:customStyle="1" w:styleId="emcsitalic">
    <w:name w:val="emcs_italic"/>
    <w:rsid w:val="004E417F"/>
    <w:rPr>
      <w:i/>
    </w:rPr>
  </w:style>
  <w:style w:type="character" w:customStyle="1" w:styleId="emcsbodytextChar">
    <w:name w:val="emcs_body_text Char"/>
    <w:rsid w:val="00E82DC5"/>
    <w:rPr>
      <w:sz w:val="24"/>
      <w:lang w:val="el-GR" w:eastAsia="el-GR" w:bidi="el-GR"/>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link w:val="HTMLPreformatted"/>
    <w:uiPriority w:val="99"/>
    <w:rsid w:val="00B55568"/>
    <w:rPr>
      <w:rFonts w:ascii="Courier New" w:hAnsi="Courier New" w:cs="Courier New"/>
    </w:rPr>
  </w:style>
  <w:style w:type="table" w:customStyle="1" w:styleId="GridTable5Dark-Accent41">
    <w:name w:val="Grid Table 5 Dark - Accent 41"/>
    <w:basedOn w:val="TableNormal"/>
    <w:uiPriority w:val="50"/>
    <w:rsid w:val="00E75DB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customStyle="1" w:styleId="FooterChar">
    <w:name w:val="Footer Char"/>
    <w:basedOn w:val="DefaultParagraphFont"/>
    <w:link w:val="Footer"/>
    <w:uiPriority w:val="99"/>
    <w:rsid w:val="005A3B41"/>
    <w:rPr>
      <w:rFonts w:ascii="Arial" w:hAnsi="Arial"/>
      <w:sz w:val="18"/>
      <w:szCs w:val="24"/>
      <w:lang w:eastAsia="el-GR"/>
    </w:rPr>
  </w:style>
  <w:style w:type="character" w:customStyle="1" w:styleId="Mention1">
    <w:name w:val="Mention1"/>
    <w:basedOn w:val="DefaultParagraphFont"/>
    <w:uiPriority w:val="99"/>
    <w:semiHidden/>
    <w:unhideWhenUsed/>
    <w:rsid w:val="00AD3A80"/>
    <w:rPr>
      <w:color w:val="2B579A"/>
      <w:shd w:val="clear" w:color="auto" w:fill="E6E6E6"/>
    </w:rPr>
  </w:style>
  <w:style w:type="character" w:customStyle="1" w:styleId="UnresolvedMention1">
    <w:name w:val="Unresolved Mention1"/>
    <w:basedOn w:val="DefaultParagraphFont"/>
    <w:uiPriority w:val="99"/>
    <w:semiHidden/>
    <w:unhideWhenUsed/>
    <w:rsid w:val="00E24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818">
      <w:bodyDiv w:val="1"/>
      <w:marLeft w:val="0"/>
      <w:marRight w:val="0"/>
      <w:marTop w:val="0"/>
      <w:marBottom w:val="0"/>
      <w:divBdr>
        <w:top w:val="none" w:sz="0" w:space="0" w:color="auto"/>
        <w:left w:val="none" w:sz="0" w:space="0" w:color="auto"/>
        <w:bottom w:val="none" w:sz="0" w:space="0" w:color="auto"/>
        <w:right w:val="none" w:sz="0" w:space="0" w:color="auto"/>
      </w:divBdr>
      <w:divsChild>
        <w:div w:id="507989730">
          <w:marLeft w:val="547"/>
          <w:marRight w:val="0"/>
          <w:marTop w:val="96"/>
          <w:marBottom w:val="0"/>
          <w:divBdr>
            <w:top w:val="none" w:sz="0" w:space="0" w:color="auto"/>
            <w:left w:val="none" w:sz="0" w:space="0" w:color="auto"/>
            <w:bottom w:val="none" w:sz="0" w:space="0" w:color="auto"/>
            <w:right w:val="none" w:sz="0" w:space="0" w:color="auto"/>
          </w:divBdr>
        </w:div>
        <w:div w:id="1157186147">
          <w:marLeft w:val="547"/>
          <w:marRight w:val="0"/>
          <w:marTop w:val="96"/>
          <w:marBottom w:val="0"/>
          <w:divBdr>
            <w:top w:val="none" w:sz="0" w:space="0" w:color="auto"/>
            <w:left w:val="none" w:sz="0" w:space="0" w:color="auto"/>
            <w:bottom w:val="none" w:sz="0" w:space="0" w:color="auto"/>
            <w:right w:val="none" w:sz="0" w:space="0" w:color="auto"/>
          </w:divBdr>
        </w:div>
        <w:div w:id="1545949343">
          <w:marLeft w:val="547"/>
          <w:marRight w:val="0"/>
          <w:marTop w:val="96"/>
          <w:marBottom w:val="0"/>
          <w:divBdr>
            <w:top w:val="none" w:sz="0" w:space="0" w:color="auto"/>
            <w:left w:val="none" w:sz="0" w:space="0" w:color="auto"/>
            <w:bottom w:val="none" w:sz="0" w:space="0" w:color="auto"/>
            <w:right w:val="none" w:sz="0" w:space="0" w:color="auto"/>
          </w:divBdr>
        </w:div>
      </w:divsChild>
    </w:div>
    <w:div w:id="17512011">
      <w:bodyDiv w:val="1"/>
      <w:marLeft w:val="0"/>
      <w:marRight w:val="0"/>
      <w:marTop w:val="0"/>
      <w:marBottom w:val="0"/>
      <w:divBdr>
        <w:top w:val="none" w:sz="0" w:space="0" w:color="auto"/>
        <w:left w:val="none" w:sz="0" w:space="0" w:color="auto"/>
        <w:bottom w:val="none" w:sz="0" w:space="0" w:color="auto"/>
        <w:right w:val="none" w:sz="0" w:space="0" w:color="auto"/>
      </w:divBdr>
    </w:div>
    <w:div w:id="26761428">
      <w:bodyDiv w:val="1"/>
      <w:marLeft w:val="0"/>
      <w:marRight w:val="0"/>
      <w:marTop w:val="0"/>
      <w:marBottom w:val="0"/>
      <w:divBdr>
        <w:top w:val="none" w:sz="0" w:space="0" w:color="auto"/>
        <w:left w:val="none" w:sz="0" w:space="0" w:color="auto"/>
        <w:bottom w:val="none" w:sz="0" w:space="0" w:color="auto"/>
        <w:right w:val="none" w:sz="0" w:space="0" w:color="auto"/>
      </w:divBdr>
      <w:divsChild>
        <w:div w:id="474184079">
          <w:marLeft w:val="1166"/>
          <w:marRight w:val="0"/>
          <w:marTop w:val="77"/>
          <w:marBottom w:val="0"/>
          <w:divBdr>
            <w:top w:val="none" w:sz="0" w:space="0" w:color="auto"/>
            <w:left w:val="none" w:sz="0" w:space="0" w:color="auto"/>
            <w:bottom w:val="none" w:sz="0" w:space="0" w:color="auto"/>
            <w:right w:val="none" w:sz="0" w:space="0" w:color="auto"/>
          </w:divBdr>
        </w:div>
      </w:divsChild>
    </w:div>
    <w:div w:id="38749691">
      <w:bodyDiv w:val="1"/>
      <w:marLeft w:val="0"/>
      <w:marRight w:val="0"/>
      <w:marTop w:val="0"/>
      <w:marBottom w:val="0"/>
      <w:divBdr>
        <w:top w:val="none" w:sz="0" w:space="0" w:color="auto"/>
        <w:left w:val="none" w:sz="0" w:space="0" w:color="auto"/>
        <w:bottom w:val="none" w:sz="0" w:space="0" w:color="auto"/>
        <w:right w:val="none" w:sz="0" w:space="0" w:color="auto"/>
      </w:divBdr>
    </w:div>
    <w:div w:id="79720221">
      <w:bodyDiv w:val="1"/>
      <w:marLeft w:val="0"/>
      <w:marRight w:val="0"/>
      <w:marTop w:val="0"/>
      <w:marBottom w:val="0"/>
      <w:divBdr>
        <w:top w:val="none" w:sz="0" w:space="0" w:color="auto"/>
        <w:left w:val="none" w:sz="0" w:space="0" w:color="auto"/>
        <w:bottom w:val="none" w:sz="0" w:space="0" w:color="auto"/>
        <w:right w:val="none" w:sz="0" w:space="0" w:color="auto"/>
      </w:divBdr>
    </w:div>
    <w:div w:id="90325130">
      <w:bodyDiv w:val="1"/>
      <w:marLeft w:val="0"/>
      <w:marRight w:val="0"/>
      <w:marTop w:val="0"/>
      <w:marBottom w:val="0"/>
      <w:divBdr>
        <w:top w:val="none" w:sz="0" w:space="0" w:color="auto"/>
        <w:left w:val="none" w:sz="0" w:space="0" w:color="auto"/>
        <w:bottom w:val="none" w:sz="0" w:space="0" w:color="auto"/>
        <w:right w:val="none" w:sz="0" w:space="0" w:color="auto"/>
      </w:divBdr>
    </w:div>
    <w:div w:id="98569083">
      <w:bodyDiv w:val="1"/>
      <w:marLeft w:val="0"/>
      <w:marRight w:val="0"/>
      <w:marTop w:val="0"/>
      <w:marBottom w:val="0"/>
      <w:divBdr>
        <w:top w:val="none" w:sz="0" w:space="0" w:color="auto"/>
        <w:left w:val="none" w:sz="0" w:space="0" w:color="auto"/>
        <w:bottom w:val="none" w:sz="0" w:space="0" w:color="auto"/>
        <w:right w:val="none" w:sz="0" w:space="0" w:color="auto"/>
      </w:divBdr>
    </w:div>
    <w:div w:id="109933403">
      <w:bodyDiv w:val="1"/>
      <w:marLeft w:val="0"/>
      <w:marRight w:val="0"/>
      <w:marTop w:val="0"/>
      <w:marBottom w:val="0"/>
      <w:divBdr>
        <w:top w:val="none" w:sz="0" w:space="0" w:color="auto"/>
        <w:left w:val="none" w:sz="0" w:space="0" w:color="auto"/>
        <w:bottom w:val="none" w:sz="0" w:space="0" w:color="auto"/>
        <w:right w:val="none" w:sz="0" w:space="0" w:color="auto"/>
      </w:divBdr>
    </w:div>
    <w:div w:id="144979163">
      <w:bodyDiv w:val="1"/>
      <w:marLeft w:val="0"/>
      <w:marRight w:val="0"/>
      <w:marTop w:val="0"/>
      <w:marBottom w:val="0"/>
      <w:divBdr>
        <w:top w:val="none" w:sz="0" w:space="0" w:color="auto"/>
        <w:left w:val="none" w:sz="0" w:space="0" w:color="auto"/>
        <w:bottom w:val="none" w:sz="0" w:space="0" w:color="auto"/>
        <w:right w:val="none" w:sz="0" w:space="0" w:color="auto"/>
      </w:divBdr>
    </w:div>
    <w:div w:id="159274389">
      <w:bodyDiv w:val="1"/>
      <w:marLeft w:val="0"/>
      <w:marRight w:val="0"/>
      <w:marTop w:val="0"/>
      <w:marBottom w:val="0"/>
      <w:divBdr>
        <w:top w:val="none" w:sz="0" w:space="0" w:color="auto"/>
        <w:left w:val="none" w:sz="0" w:space="0" w:color="auto"/>
        <w:bottom w:val="none" w:sz="0" w:space="0" w:color="auto"/>
        <w:right w:val="none" w:sz="0" w:space="0" w:color="auto"/>
      </w:divBdr>
    </w:div>
    <w:div w:id="165830807">
      <w:bodyDiv w:val="1"/>
      <w:marLeft w:val="0"/>
      <w:marRight w:val="0"/>
      <w:marTop w:val="0"/>
      <w:marBottom w:val="0"/>
      <w:divBdr>
        <w:top w:val="none" w:sz="0" w:space="0" w:color="auto"/>
        <w:left w:val="none" w:sz="0" w:space="0" w:color="auto"/>
        <w:bottom w:val="none" w:sz="0" w:space="0" w:color="auto"/>
        <w:right w:val="none" w:sz="0" w:space="0" w:color="auto"/>
      </w:divBdr>
    </w:div>
    <w:div w:id="167527362">
      <w:bodyDiv w:val="1"/>
      <w:marLeft w:val="0"/>
      <w:marRight w:val="0"/>
      <w:marTop w:val="0"/>
      <w:marBottom w:val="0"/>
      <w:divBdr>
        <w:top w:val="none" w:sz="0" w:space="0" w:color="auto"/>
        <w:left w:val="none" w:sz="0" w:space="0" w:color="auto"/>
        <w:bottom w:val="none" w:sz="0" w:space="0" w:color="auto"/>
        <w:right w:val="none" w:sz="0" w:space="0" w:color="auto"/>
      </w:divBdr>
    </w:div>
    <w:div w:id="182861920">
      <w:bodyDiv w:val="1"/>
      <w:marLeft w:val="0"/>
      <w:marRight w:val="0"/>
      <w:marTop w:val="0"/>
      <w:marBottom w:val="0"/>
      <w:divBdr>
        <w:top w:val="none" w:sz="0" w:space="0" w:color="auto"/>
        <w:left w:val="none" w:sz="0" w:space="0" w:color="auto"/>
        <w:bottom w:val="none" w:sz="0" w:space="0" w:color="auto"/>
        <w:right w:val="none" w:sz="0" w:space="0" w:color="auto"/>
      </w:divBdr>
      <w:divsChild>
        <w:div w:id="488138097">
          <w:marLeft w:val="1166"/>
          <w:marRight w:val="0"/>
          <w:marTop w:val="77"/>
          <w:marBottom w:val="0"/>
          <w:divBdr>
            <w:top w:val="none" w:sz="0" w:space="0" w:color="auto"/>
            <w:left w:val="none" w:sz="0" w:space="0" w:color="auto"/>
            <w:bottom w:val="none" w:sz="0" w:space="0" w:color="auto"/>
            <w:right w:val="none" w:sz="0" w:space="0" w:color="auto"/>
          </w:divBdr>
        </w:div>
        <w:div w:id="1302081993">
          <w:marLeft w:val="1166"/>
          <w:marRight w:val="0"/>
          <w:marTop w:val="77"/>
          <w:marBottom w:val="0"/>
          <w:divBdr>
            <w:top w:val="none" w:sz="0" w:space="0" w:color="auto"/>
            <w:left w:val="none" w:sz="0" w:space="0" w:color="auto"/>
            <w:bottom w:val="none" w:sz="0" w:space="0" w:color="auto"/>
            <w:right w:val="none" w:sz="0" w:space="0" w:color="auto"/>
          </w:divBdr>
        </w:div>
      </w:divsChild>
    </w:div>
    <w:div w:id="207305179">
      <w:bodyDiv w:val="1"/>
      <w:marLeft w:val="0"/>
      <w:marRight w:val="0"/>
      <w:marTop w:val="0"/>
      <w:marBottom w:val="0"/>
      <w:divBdr>
        <w:top w:val="none" w:sz="0" w:space="0" w:color="auto"/>
        <w:left w:val="none" w:sz="0" w:space="0" w:color="auto"/>
        <w:bottom w:val="none" w:sz="0" w:space="0" w:color="auto"/>
        <w:right w:val="none" w:sz="0" w:space="0" w:color="auto"/>
      </w:divBdr>
    </w:div>
    <w:div w:id="207647697">
      <w:bodyDiv w:val="1"/>
      <w:marLeft w:val="0"/>
      <w:marRight w:val="0"/>
      <w:marTop w:val="0"/>
      <w:marBottom w:val="0"/>
      <w:divBdr>
        <w:top w:val="none" w:sz="0" w:space="0" w:color="auto"/>
        <w:left w:val="none" w:sz="0" w:space="0" w:color="auto"/>
        <w:bottom w:val="none" w:sz="0" w:space="0" w:color="auto"/>
        <w:right w:val="none" w:sz="0" w:space="0" w:color="auto"/>
      </w:divBdr>
    </w:div>
    <w:div w:id="218564597">
      <w:bodyDiv w:val="1"/>
      <w:marLeft w:val="0"/>
      <w:marRight w:val="0"/>
      <w:marTop w:val="0"/>
      <w:marBottom w:val="0"/>
      <w:divBdr>
        <w:top w:val="none" w:sz="0" w:space="0" w:color="auto"/>
        <w:left w:val="none" w:sz="0" w:space="0" w:color="auto"/>
        <w:bottom w:val="none" w:sz="0" w:space="0" w:color="auto"/>
        <w:right w:val="none" w:sz="0" w:space="0" w:color="auto"/>
      </w:divBdr>
    </w:div>
    <w:div w:id="260646780">
      <w:bodyDiv w:val="1"/>
      <w:marLeft w:val="0"/>
      <w:marRight w:val="0"/>
      <w:marTop w:val="0"/>
      <w:marBottom w:val="0"/>
      <w:divBdr>
        <w:top w:val="none" w:sz="0" w:space="0" w:color="auto"/>
        <w:left w:val="none" w:sz="0" w:space="0" w:color="auto"/>
        <w:bottom w:val="none" w:sz="0" w:space="0" w:color="auto"/>
        <w:right w:val="none" w:sz="0" w:space="0" w:color="auto"/>
      </w:divBdr>
    </w:div>
    <w:div w:id="279387268">
      <w:bodyDiv w:val="1"/>
      <w:marLeft w:val="0"/>
      <w:marRight w:val="0"/>
      <w:marTop w:val="0"/>
      <w:marBottom w:val="0"/>
      <w:divBdr>
        <w:top w:val="none" w:sz="0" w:space="0" w:color="auto"/>
        <w:left w:val="none" w:sz="0" w:space="0" w:color="auto"/>
        <w:bottom w:val="none" w:sz="0" w:space="0" w:color="auto"/>
        <w:right w:val="none" w:sz="0" w:space="0" w:color="auto"/>
      </w:divBdr>
      <w:divsChild>
        <w:div w:id="62413560">
          <w:marLeft w:val="1166"/>
          <w:marRight w:val="0"/>
          <w:marTop w:val="86"/>
          <w:marBottom w:val="0"/>
          <w:divBdr>
            <w:top w:val="none" w:sz="0" w:space="0" w:color="auto"/>
            <w:left w:val="none" w:sz="0" w:space="0" w:color="auto"/>
            <w:bottom w:val="none" w:sz="0" w:space="0" w:color="auto"/>
            <w:right w:val="none" w:sz="0" w:space="0" w:color="auto"/>
          </w:divBdr>
        </w:div>
        <w:div w:id="615334289">
          <w:marLeft w:val="1166"/>
          <w:marRight w:val="0"/>
          <w:marTop w:val="86"/>
          <w:marBottom w:val="0"/>
          <w:divBdr>
            <w:top w:val="none" w:sz="0" w:space="0" w:color="auto"/>
            <w:left w:val="none" w:sz="0" w:space="0" w:color="auto"/>
            <w:bottom w:val="none" w:sz="0" w:space="0" w:color="auto"/>
            <w:right w:val="none" w:sz="0" w:space="0" w:color="auto"/>
          </w:divBdr>
        </w:div>
      </w:divsChild>
    </w:div>
    <w:div w:id="283848662">
      <w:bodyDiv w:val="1"/>
      <w:marLeft w:val="0"/>
      <w:marRight w:val="0"/>
      <w:marTop w:val="0"/>
      <w:marBottom w:val="0"/>
      <w:divBdr>
        <w:top w:val="none" w:sz="0" w:space="0" w:color="auto"/>
        <w:left w:val="none" w:sz="0" w:space="0" w:color="auto"/>
        <w:bottom w:val="none" w:sz="0" w:space="0" w:color="auto"/>
        <w:right w:val="none" w:sz="0" w:space="0" w:color="auto"/>
      </w:divBdr>
    </w:div>
    <w:div w:id="288126193">
      <w:bodyDiv w:val="1"/>
      <w:marLeft w:val="0"/>
      <w:marRight w:val="0"/>
      <w:marTop w:val="0"/>
      <w:marBottom w:val="0"/>
      <w:divBdr>
        <w:top w:val="none" w:sz="0" w:space="0" w:color="auto"/>
        <w:left w:val="none" w:sz="0" w:space="0" w:color="auto"/>
        <w:bottom w:val="none" w:sz="0" w:space="0" w:color="auto"/>
        <w:right w:val="none" w:sz="0" w:space="0" w:color="auto"/>
      </w:divBdr>
    </w:div>
    <w:div w:id="292759318">
      <w:bodyDiv w:val="1"/>
      <w:marLeft w:val="0"/>
      <w:marRight w:val="0"/>
      <w:marTop w:val="0"/>
      <w:marBottom w:val="0"/>
      <w:divBdr>
        <w:top w:val="none" w:sz="0" w:space="0" w:color="auto"/>
        <w:left w:val="none" w:sz="0" w:space="0" w:color="auto"/>
        <w:bottom w:val="none" w:sz="0" w:space="0" w:color="auto"/>
        <w:right w:val="none" w:sz="0" w:space="0" w:color="auto"/>
      </w:divBdr>
    </w:div>
    <w:div w:id="306125715">
      <w:bodyDiv w:val="1"/>
      <w:marLeft w:val="0"/>
      <w:marRight w:val="0"/>
      <w:marTop w:val="0"/>
      <w:marBottom w:val="0"/>
      <w:divBdr>
        <w:top w:val="none" w:sz="0" w:space="0" w:color="auto"/>
        <w:left w:val="none" w:sz="0" w:space="0" w:color="auto"/>
        <w:bottom w:val="none" w:sz="0" w:space="0" w:color="auto"/>
        <w:right w:val="none" w:sz="0" w:space="0" w:color="auto"/>
      </w:divBdr>
    </w:div>
    <w:div w:id="314377439">
      <w:bodyDiv w:val="1"/>
      <w:marLeft w:val="0"/>
      <w:marRight w:val="0"/>
      <w:marTop w:val="0"/>
      <w:marBottom w:val="0"/>
      <w:divBdr>
        <w:top w:val="none" w:sz="0" w:space="0" w:color="auto"/>
        <w:left w:val="none" w:sz="0" w:space="0" w:color="auto"/>
        <w:bottom w:val="none" w:sz="0" w:space="0" w:color="auto"/>
        <w:right w:val="none" w:sz="0" w:space="0" w:color="auto"/>
      </w:divBdr>
    </w:div>
    <w:div w:id="326595418">
      <w:bodyDiv w:val="1"/>
      <w:marLeft w:val="0"/>
      <w:marRight w:val="0"/>
      <w:marTop w:val="0"/>
      <w:marBottom w:val="0"/>
      <w:divBdr>
        <w:top w:val="none" w:sz="0" w:space="0" w:color="auto"/>
        <w:left w:val="none" w:sz="0" w:space="0" w:color="auto"/>
        <w:bottom w:val="none" w:sz="0" w:space="0" w:color="auto"/>
        <w:right w:val="none" w:sz="0" w:space="0" w:color="auto"/>
      </w:divBdr>
    </w:div>
    <w:div w:id="332758301">
      <w:bodyDiv w:val="1"/>
      <w:marLeft w:val="0"/>
      <w:marRight w:val="0"/>
      <w:marTop w:val="0"/>
      <w:marBottom w:val="0"/>
      <w:divBdr>
        <w:top w:val="none" w:sz="0" w:space="0" w:color="auto"/>
        <w:left w:val="none" w:sz="0" w:space="0" w:color="auto"/>
        <w:bottom w:val="none" w:sz="0" w:space="0" w:color="auto"/>
        <w:right w:val="none" w:sz="0" w:space="0" w:color="auto"/>
      </w:divBdr>
    </w:div>
    <w:div w:id="367797381">
      <w:bodyDiv w:val="1"/>
      <w:marLeft w:val="0"/>
      <w:marRight w:val="0"/>
      <w:marTop w:val="0"/>
      <w:marBottom w:val="0"/>
      <w:divBdr>
        <w:top w:val="none" w:sz="0" w:space="0" w:color="auto"/>
        <w:left w:val="none" w:sz="0" w:space="0" w:color="auto"/>
        <w:bottom w:val="none" w:sz="0" w:space="0" w:color="auto"/>
        <w:right w:val="none" w:sz="0" w:space="0" w:color="auto"/>
      </w:divBdr>
    </w:div>
    <w:div w:id="381102199">
      <w:bodyDiv w:val="1"/>
      <w:marLeft w:val="0"/>
      <w:marRight w:val="0"/>
      <w:marTop w:val="0"/>
      <w:marBottom w:val="0"/>
      <w:divBdr>
        <w:top w:val="none" w:sz="0" w:space="0" w:color="auto"/>
        <w:left w:val="none" w:sz="0" w:space="0" w:color="auto"/>
        <w:bottom w:val="none" w:sz="0" w:space="0" w:color="auto"/>
        <w:right w:val="none" w:sz="0" w:space="0" w:color="auto"/>
      </w:divBdr>
    </w:div>
    <w:div w:id="394549271">
      <w:bodyDiv w:val="1"/>
      <w:marLeft w:val="0"/>
      <w:marRight w:val="0"/>
      <w:marTop w:val="0"/>
      <w:marBottom w:val="0"/>
      <w:divBdr>
        <w:top w:val="none" w:sz="0" w:space="0" w:color="auto"/>
        <w:left w:val="none" w:sz="0" w:space="0" w:color="auto"/>
        <w:bottom w:val="none" w:sz="0" w:space="0" w:color="auto"/>
        <w:right w:val="none" w:sz="0" w:space="0" w:color="auto"/>
      </w:divBdr>
    </w:div>
    <w:div w:id="410126829">
      <w:bodyDiv w:val="1"/>
      <w:marLeft w:val="0"/>
      <w:marRight w:val="0"/>
      <w:marTop w:val="0"/>
      <w:marBottom w:val="0"/>
      <w:divBdr>
        <w:top w:val="none" w:sz="0" w:space="0" w:color="auto"/>
        <w:left w:val="none" w:sz="0" w:space="0" w:color="auto"/>
        <w:bottom w:val="none" w:sz="0" w:space="0" w:color="auto"/>
        <w:right w:val="none" w:sz="0" w:space="0" w:color="auto"/>
      </w:divBdr>
    </w:div>
    <w:div w:id="411782203">
      <w:bodyDiv w:val="1"/>
      <w:marLeft w:val="0"/>
      <w:marRight w:val="0"/>
      <w:marTop w:val="0"/>
      <w:marBottom w:val="0"/>
      <w:divBdr>
        <w:top w:val="none" w:sz="0" w:space="0" w:color="auto"/>
        <w:left w:val="none" w:sz="0" w:space="0" w:color="auto"/>
        <w:bottom w:val="none" w:sz="0" w:space="0" w:color="auto"/>
        <w:right w:val="none" w:sz="0" w:space="0" w:color="auto"/>
      </w:divBdr>
    </w:div>
    <w:div w:id="420760660">
      <w:bodyDiv w:val="1"/>
      <w:marLeft w:val="0"/>
      <w:marRight w:val="0"/>
      <w:marTop w:val="0"/>
      <w:marBottom w:val="0"/>
      <w:divBdr>
        <w:top w:val="none" w:sz="0" w:space="0" w:color="auto"/>
        <w:left w:val="none" w:sz="0" w:space="0" w:color="auto"/>
        <w:bottom w:val="none" w:sz="0" w:space="0" w:color="auto"/>
        <w:right w:val="none" w:sz="0" w:space="0" w:color="auto"/>
      </w:divBdr>
    </w:div>
    <w:div w:id="475537559">
      <w:bodyDiv w:val="1"/>
      <w:marLeft w:val="0"/>
      <w:marRight w:val="0"/>
      <w:marTop w:val="0"/>
      <w:marBottom w:val="0"/>
      <w:divBdr>
        <w:top w:val="none" w:sz="0" w:space="0" w:color="auto"/>
        <w:left w:val="none" w:sz="0" w:space="0" w:color="auto"/>
        <w:bottom w:val="none" w:sz="0" w:space="0" w:color="auto"/>
        <w:right w:val="none" w:sz="0" w:space="0" w:color="auto"/>
      </w:divBdr>
    </w:div>
    <w:div w:id="478034244">
      <w:bodyDiv w:val="1"/>
      <w:marLeft w:val="0"/>
      <w:marRight w:val="0"/>
      <w:marTop w:val="0"/>
      <w:marBottom w:val="0"/>
      <w:divBdr>
        <w:top w:val="none" w:sz="0" w:space="0" w:color="auto"/>
        <w:left w:val="none" w:sz="0" w:space="0" w:color="auto"/>
        <w:bottom w:val="none" w:sz="0" w:space="0" w:color="auto"/>
        <w:right w:val="none" w:sz="0" w:space="0" w:color="auto"/>
      </w:divBdr>
    </w:div>
    <w:div w:id="486433753">
      <w:bodyDiv w:val="1"/>
      <w:marLeft w:val="0"/>
      <w:marRight w:val="0"/>
      <w:marTop w:val="0"/>
      <w:marBottom w:val="0"/>
      <w:divBdr>
        <w:top w:val="none" w:sz="0" w:space="0" w:color="auto"/>
        <w:left w:val="none" w:sz="0" w:space="0" w:color="auto"/>
        <w:bottom w:val="none" w:sz="0" w:space="0" w:color="auto"/>
        <w:right w:val="none" w:sz="0" w:space="0" w:color="auto"/>
      </w:divBdr>
    </w:div>
    <w:div w:id="515968994">
      <w:bodyDiv w:val="1"/>
      <w:marLeft w:val="0"/>
      <w:marRight w:val="0"/>
      <w:marTop w:val="0"/>
      <w:marBottom w:val="0"/>
      <w:divBdr>
        <w:top w:val="none" w:sz="0" w:space="0" w:color="auto"/>
        <w:left w:val="none" w:sz="0" w:space="0" w:color="auto"/>
        <w:bottom w:val="none" w:sz="0" w:space="0" w:color="auto"/>
        <w:right w:val="none" w:sz="0" w:space="0" w:color="auto"/>
      </w:divBdr>
    </w:div>
    <w:div w:id="518395686">
      <w:bodyDiv w:val="1"/>
      <w:marLeft w:val="0"/>
      <w:marRight w:val="0"/>
      <w:marTop w:val="0"/>
      <w:marBottom w:val="0"/>
      <w:divBdr>
        <w:top w:val="none" w:sz="0" w:space="0" w:color="auto"/>
        <w:left w:val="none" w:sz="0" w:space="0" w:color="auto"/>
        <w:bottom w:val="none" w:sz="0" w:space="0" w:color="auto"/>
        <w:right w:val="none" w:sz="0" w:space="0" w:color="auto"/>
      </w:divBdr>
    </w:div>
    <w:div w:id="520322891">
      <w:bodyDiv w:val="1"/>
      <w:marLeft w:val="0"/>
      <w:marRight w:val="0"/>
      <w:marTop w:val="0"/>
      <w:marBottom w:val="0"/>
      <w:divBdr>
        <w:top w:val="none" w:sz="0" w:space="0" w:color="auto"/>
        <w:left w:val="none" w:sz="0" w:space="0" w:color="auto"/>
        <w:bottom w:val="none" w:sz="0" w:space="0" w:color="auto"/>
        <w:right w:val="none" w:sz="0" w:space="0" w:color="auto"/>
      </w:divBdr>
    </w:div>
    <w:div w:id="524830983">
      <w:bodyDiv w:val="1"/>
      <w:marLeft w:val="0"/>
      <w:marRight w:val="0"/>
      <w:marTop w:val="0"/>
      <w:marBottom w:val="0"/>
      <w:divBdr>
        <w:top w:val="none" w:sz="0" w:space="0" w:color="auto"/>
        <w:left w:val="none" w:sz="0" w:space="0" w:color="auto"/>
        <w:bottom w:val="none" w:sz="0" w:space="0" w:color="auto"/>
        <w:right w:val="none" w:sz="0" w:space="0" w:color="auto"/>
      </w:divBdr>
    </w:div>
    <w:div w:id="541090852">
      <w:bodyDiv w:val="1"/>
      <w:marLeft w:val="0"/>
      <w:marRight w:val="0"/>
      <w:marTop w:val="0"/>
      <w:marBottom w:val="0"/>
      <w:divBdr>
        <w:top w:val="none" w:sz="0" w:space="0" w:color="auto"/>
        <w:left w:val="none" w:sz="0" w:space="0" w:color="auto"/>
        <w:bottom w:val="none" w:sz="0" w:space="0" w:color="auto"/>
        <w:right w:val="none" w:sz="0" w:space="0" w:color="auto"/>
      </w:divBdr>
    </w:div>
    <w:div w:id="555362900">
      <w:bodyDiv w:val="1"/>
      <w:marLeft w:val="0"/>
      <w:marRight w:val="0"/>
      <w:marTop w:val="0"/>
      <w:marBottom w:val="0"/>
      <w:divBdr>
        <w:top w:val="none" w:sz="0" w:space="0" w:color="auto"/>
        <w:left w:val="none" w:sz="0" w:space="0" w:color="auto"/>
        <w:bottom w:val="none" w:sz="0" w:space="0" w:color="auto"/>
        <w:right w:val="none" w:sz="0" w:space="0" w:color="auto"/>
      </w:divBdr>
    </w:div>
    <w:div w:id="559026182">
      <w:bodyDiv w:val="1"/>
      <w:marLeft w:val="0"/>
      <w:marRight w:val="0"/>
      <w:marTop w:val="0"/>
      <w:marBottom w:val="0"/>
      <w:divBdr>
        <w:top w:val="none" w:sz="0" w:space="0" w:color="auto"/>
        <w:left w:val="none" w:sz="0" w:space="0" w:color="auto"/>
        <w:bottom w:val="none" w:sz="0" w:space="0" w:color="auto"/>
        <w:right w:val="none" w:sz="0" w:space="0" w:color="auto"/>
      </w:divBdr>
    </w:div>
    <w:div w:id="566722194">
      <w:bodyDiv w:val="1"/>
      <w:marLeft w:val="0"/>
      <w:marRight w:val="0"/>
      <w:marTop w:val="0"/>
      <w:marBottom w:val="0"/>
      <w:divBdr>
        <w:top w:val="none" w:sz="0" w:space="0" w:color="auto"/>
        <w:left w:val="none" w:sz="0" w:space="0" w:color="auto"/>
        <w:bottom w:val="none" w:sz="0" w:space="0" w:color="auto"/>
        <w:right w:val="none" w:sz="0" w:space="0" w:color="auto"/>
      </w:divBdr>
      <w:divsChild>
        <w:div w:id="95904537">
          <w:marLeft w:val="1166"/>
          <w:marRight w:val="0"/>
          <w:marTop w:val="130"/>
          <w:marBottom w:val="0"/>
          <w:divBdr>
            <w:top w:val="none" w:sz="0" w:space="0" w:color="auto"/>
            <w:left w:val="none" w:sz="0" w:space="0" w:color="auto"/>
            <w:bottom w:val="none" w:sz="0" w:space="0" w:color="auto"/>
            <w:right w:val="none" w:sz="0" w:space="0" w:color="auto"/>
          </w:divBdr>
        </w:div>
        <w:div w:id="1226913685">
          <w:marLeft w:val="1166"/>
          <w:marRight w:val="0"/>
          <w:marTop w:val="130"/>
          <w:marBottom w:val="0"/>
          <w:divBdr>
            <w:top w:val="none" w:sz="0" w:space="0" w:color="auto"/>
            <w:left w:val="none" w:sz="0" w:space="0" w:color="auto"/>
            <w:bottom w:val="none" w:sz="0" w:space="0" w:color="auto"/>
            <w:right w:val="none" w:sz="0" w:space="0" w:color="auto"/>
          </w:divBdr>
        </w:div>
        <w:div w:id="1292436730">
          <w:marLeft w:val="1166"/>
          <w:marRight w:val="0"/>
          <w:marTop w:val="130"/>
          <w:marBottom w:val="0"/>
          <w:divBdr>
            <w:top w:val="none" w:sz="0" w:space="0" w:color="auto"/>
            <w:left w:val="none" w:sz="0" w:space="0" w:color="auto"/>
            <w:bottom w:val="none" w:sz="0" w:space="0" w:color="auto"/>
            <w:right w:val="none" w:sz="0" w:space="0" w:color="auto"/>
          </w:divBdr>
        </w:div>
        <w:div w:id="1375227703">
          <w:marLeft w:val="1166"/>
          <w:marRight w:val="0"/>
          <w:marTop w:val="130"/>
          <w:marBottom w:val="0"/>
          <w:divBdr>
            <w:top w:val="none" w:sz="0" w:space="0" w:color="auto"/>
            <w:left w:val="none" w:sz="0" w:space="0" w:color="auto"/>
            <w:bottom w:val="none" w:sz="0" w:space="0" w:color="auto"/>
            <w:right w:val="none" w:sz="0" w:space="0" w:color="auto"/>
          </w:divBdr>
        </w:div>
        <w:div w:id="1420716161">
          <w:marLeft w:val="1166"/>
          <w:marRight w:val="0"/>
          <w:marTop w:val="130"/>
          <w:marBottom w:val="0"/>
          <w:divBdr>
            <w:top w:val="none" w:sz="0" w:space="0" w:color="auto"/>
            <w:left w:val="none" w:sz="0" w:space="0" w:color="auto"/>
            <w:bottom w:val="none" w:sz="0" w:space="0" w:color="auto"/>
            <w:right w:val="none" w:sz="0" w:space="0" w:color="auto"/>
          </w:divBdr>
        </w:div>
        <w:div w:id="1822455650">
          <w:marLeft w:val="1166"/>
          <w:marRight w:val="0"/>
          <w:marTop w:val="130"/>
          <w:marBottom w:val="0"/>
          <w:divBdr>
            <w:top w:val="none" w:sz="0" w:space="0" w:color="auto"/>
            <w:left w:val="none" w:sz="0" w:space="0" w:color="auto"/>
            <w:bottom w:val="none" w:sz="0" w:space="0" w:color="auto"/>
            <w:right w:val="none" w:sz="0" w:space="0" w:color="auto"/>
          </w:divBdr>
        </w:div>
      </w:divsChild>
    </w:div>
    <w:div w:id="582838024">
      <w:bodyDiv w:val="1"/>
      <w:marLeft w:val="0"/>
      <w:marRight w:val="0"/>
      <w:marTop w:val="0"/>
      <w:marBottom w:val="0"/>
      <w:divBdr>
        <w:top w:val="none" w:sz="0" w:space="0" w:color="auto"/>
        <w:left w:val="none" w:sz="0" w:space="0" w:color="auto"/>
        <w:bottom w:val="none" w:sz="0" w:space="0" w:color="auto"/>
        <w:right w:val="none" w:sz="0" w:space="0" w:color="auto"/>
      </w:divBdr>
    </w:div>
    <w:div w:id="624971633">
      <w:bodyDiv w:val="1"/>
      <w:marLeft w:val="0"/>
      <w:marRight w:val="0"/>
      <w:marTop w:val="0"/>
      <w:marBottom w:val="0"/>
      <w:divBdr>
        <w:top w:val="none" w:sz="0" w:space="0" w:color="auto"/>
        <w:left w:val="none" w:sz="0" w:space="0" w:color="auto"/>
        <w:bottom w:val="none" w:sz="0" w:space="0" w:color="auto"/>
        <w:right w:val="none" w:sz="0" w:space="0" w:color="auto"/>
      </w:divBdr>
    </w:div>
    <w:div w:id="626813876">
      <w:bodyDiv w:val="1"/>
      <w:marLeft w:val="0"/>
      <w:marRight w:val="0"/>
      <w:marTop w:val="0"/>
      <w:marBottom w:val="0"/>
      <w:divBdr>
        <w:top w:val="none" w:sz="0" w:space="0" w:color="auto"/>
        <w:left w:val="none" w:sz="0" w:space="0" w:color="auto"/>
        <w:bottom w:val="none" w:sz="0" w:space="0" w:color="auto"/>
        <w:right w:val="none" w:sz="0" w:space="0" w:color="auto"/>
      </w:divBdr>
    </w:div>
    <w:div w:id="630945714">
      <w:bodyDiv w:val="1"/>
      <w:marLeft w:val="0"/>
      <w:marRight w:val="0"/>
      <w:marTop w:val="0"/>
      <w:marBottom w:val="0"/>
      <w:divBdr>
        <w:top w:val="none" w:sz="0" w:space="0" w:color="auto"/>
        <w:left w:val="none" w:sz="0" w:space="0" w:color="auto"/>
        <w:bottom w:val="none" w:sz="0" w:space="0" w:color="auto"/>
        <w:right w:val="none" w:sz="0" w:space="0" w:color="auto"/>
      </w:divBdr>
      <w:divsChild>
        <w:div w:id="190147973">
          <w:marLeft w:val="547"/>
          <w:marRight w:val="0"/>
          <w:marTop w:val="96"/>
          <w:marBottom w:val="0"/>
          <w:divBdr>
            <w:top w:val="none" w:sz="0" w:space="0" w:color="auto"/>
            <w:left w:val="none" w:sz="0" w:space="0" w:color="auto"/>
            <w:bottom w:val="none" w:sz="0" w:space="0" w:color="auto"/>
            <w:right w:val="none" w:sz="0" w:space="0" w:color="auto"/>
          </w:divBdr>
        </w:div>
      </w:divsChild>
    </w:div>
    <w:div w:id="635524519">
      <w:bodyDiv w:val="1"/>
      <w:marLeft w:val="0"/>
      <w:marRight w:val="0"/>
      <w:marTop w:val="0"/>
      <w:marBottom w:val="0"/>
      <w:divBdr>
        <w:top w:val="none" w:sz="0" w:space="0" w:color="auto"/>
        <w:left w:val="none" w:sz="0" w:space="0" w:color="auto"/>
        <w:bottom w:val="none" w:sz="0" w:space="0" w:color="auto"/>
        <w:right w:val="none" w:sz="0" w:space="0" w:color="auto"/>
      </w:divBdr>
    </w:div>
    <w:div w:id="638609851">
      <w:bodyDiv w:val="1"/>
      <w:marLeft w:val="0"/>
      <w:marRight w:val="0"/>
      <w:marTop w:val="0"/>
      <w:marBottom w:val="0"/>
      <w:divBdr>
        <w:top w:val="none" w:sz="0" w:space="0" w:color="auto"/>
        <w:left w:val="none" w:sz="0" w:space="0" w:color="auto"/>
        <w:bottom w:val="none" w:sz="0" w:space="0" w:color="auto"/>
        <w:right w:val="none" w:sz="0" w:space="0" w:color="auto"/>
      </w:divBdr>
      <w:divsChild>
        <w:div w:id="177081773">
          <w:marLeft w:val="1166"/>
          <w:marRight w:val="0"/>
          <w:marTop w:val="77"/>
          <w:marBottom w:val="0"/>
          <w:divBdr>
            <w:top w:val="none" w:sz="0" w:space="0" w:color="auto"/>
            <w:left w:val="none" w:sz="0" w:space="0" w:color="auto"/>
            <w:bottom w:val="none" w:sz="0" w:space="0" w:color="auto"/>
            <w:right w:val="none" w:sz="0" w:space="0" w:color="auto"/>
          </w:divBdr>
        </w:div>
        <w:div w:id="602299244">
          <w:marLeft w:val="1166"/>
          <w:marRight w:val="0"/>
          <w:marTop w:val="77"/>
          <w:marBottom w:val="0"/>
          <w:divBdr>
            <w:top w:val="none" w:sz="0" w:space="0" w:color="auto"/>
            <w:left w:val="none" w:sz="0" w:space="0" w:color="auto"/>
            <w:bottom w:val="none" w:sz="0" w:space="0" w:color="auto"/>
            <w:right w:val="none" w:sz="0" w:space="0" w:color="auto"/>
          </w:divBdr>
        </w:div>
        <w:div w:id="909146895">
          <w:marLeft w:val="1166"/>
          <w:marRight w:val="0"/>
          <w:marTop w:val="77"/>
          <w:marBottom w:val="0"/>
          <w:divBdr>
            <w:top w:val="none" w:sz="0" w:space="0" w:color="auto"/>
            <w:left w:val="none" w:sz="0" w:space="0" w:color="auto"/>
            <w:bottom w:val="none" w:sz="0" w:space="0" w:color="auto"/>
            <w:right w:val="none" w:sz="0" w:space="0" w:color="auto"/>
          </w:divBdr>
        </w:div>
        <w:div w:id="915094384">
          <w:marLeft w:val="1166"/>
          <w:marRight w:val="0"/>
          <w:marTop w:val="77"/>
          <w:marBottom w:val="0"/>
          <w:divBdr>
            <w:top w:val="none" w:sz="0" w:space="0" w:color="auto"/>
            <w:left w:val="none" w:sz="0" w:space="0" w:color="auto"/>
            <w:bottom w:val="none" w:sz="0" w:space="0" w:color="auto"/>
            <w:right w:val="none" w:sz="0" w:space="0" w:color="auto"/>
          </w:divBdr>
        </w:div>
        <w:div w:id="1171062902">
          <w:marLeft w:val="1166"/>
          <w:marRight w:val="0"/>
          <w:marTop w:val="77"/>
          <w:marBottom w:val="0"/>
          <w:divBdr>
            <w:top w:val="none" w:sz="0" w:space="0" w:color="auto"/>
            <w:left w:val="none" w:sz="0" w:space="0" w:color="auto"/>
            <w:bottom w:val="none" w:sz="0" w:space="0" w:color="auto"/>
            <w:right w:val="none" w:sz="0" w:space="0" w:color="auto"/>
          </w:divBdr>
        </w:div>
        <w:div w:id="1272006172">
          <w:marLeft w:val="1166"/>
          <w:marRight w:val="0"/>
          <w:marTop w:val="77"/>
          <w:marBottom w:val="0"/>
          <w:divBdr>
            <w:top w:val="none" w:sz="0" w:space="0" w:color="auto"/>
            <w:left w:val="none" w:sz="0" w:space="0" w:color="auto"/>
            <w:bottom w:val="none" w:sz="0" w:space="0" w:color="auto"/>
            <w:right w:val="none" w:sz="0" w:space="0" w:color="auto"/>
          </w:divBdr>
        </w:div>
        <w:div w:id="1321272905">
          <w:marLeft w:val="1166"/>
          <w:marRight w:val="0"/>
          <w:marTop w:val="77"/>
          <w:marBottom w:val="0"/>
          <w:divBdr>
            <w:top w:val="none" w:sz="0" w:space="0" w:color="auto"/>
            <w:left w:val="none" w:sz="0" w:space="0" w:color="auto"/>
            <w:bottom w:val="none" w:sz="0" w:space="0" w:color="auto"/>
            <w:right w:val="none" w:sz="0" w:space="0" w:color="auto"/>
          </w:divBdr>
        </w:div>
      </w:divsChild>
    </w:div>
    <w:div w:id="659314295">
      <w:bodyDiv w:val="1"/>
      <w:marLeft w:val="0"/>
      <w:marRight w:val="0"/>
      <w:marTop w:val="0"/>
      <w:marBottom w:val="0"/>
      <w:divBdr>
        <w:top w:val="none" w:sz="0" w:space="0" w:color="auto"/>
        <w:left w:val="none" w:sz="0" w:space="0" w:color="auto"/>
        <w:bottom w:val="none" w:sz="0" w:space="0" w:color="auto"/>
        <w:right w:val="none" w:sz="0" w:space="0" w:color="auto"/>
      </w:divBdr>
    </w:div>
    <w:div w:id="666131067">
      <w:bodyDiv w:val="1"/>
      <w:marLeft w:val="0"/>
      <w:marRight w:val="0"/>
      <w:marTop w:val="0"/>
      <w:marBottom w:val="0"/>
      <w:divBdr>
        <w:top w:val="none" w:sz="0" w:space="0" w:color="auto"/>
        <w:left w:val="none" w:sz="0" w:space="0" w:color="auto"/>
        <w:bottom w:val="none" w:sz="0" w:space="0" w:color="auto"/>
        <w:right w:val="none" w:sz="0" w:space="0" w:color="auto"/>
      </w:divBdr>
    </w:div>
    <w:div w:id="682977798">
      <w:bodyDiv w:val="1"/>
      <w:marLeft w:val="0"/>
      <w:marRight w:val="0"/>
      <w:marTop w:val="0"/>
      <w:marBottom w:val="0"/>
      <w:divBdr>
        <w:top w:val="none" w:sz="0" w:space="0" w:color="auto"/>
        <w:left w:val="none" w:sz="0" w:space="0" w:color="auto"/>
        <w:bottom w:val="none" w:sz="0" w:space="0" w:color="auto"/>
        <w:right w:val="none" w:sz="0" w:space="0" w:color="auto"/>
      </w:divBdr>
    </w:div>
    <w:div w:id="702903973">
      <w:bodyDiv w:val="1"/>
      <w:marLeft w:val="0"/>
      <w:marRight w:val="0"/>
      <w:marTop w:val="0"/>
      <w:marBottom w:val="0"/>
      <w:divBdr>
        <w:top w:val="none" w:sz="0" w:space="0" w:color="auto"/>
        <w:left w:val="none" w:sz="0" w:space="0" w:color="auto"/>
        <w:bottom w:val="none" w:sz="0" w:space="0" w:color="auto"/>
        <w:right w:val="none" w:sz="0" w:space="0" w:color="auto"/>
      </w:divBdr>
    </w:div>
    <w:div w:id="755903157">
      <w:bodyDiv w:val="1"/>
      <w:marLeft w:val="0"/>
      <w:marRight w:val="0"/>
      <w:marTop w:val="0"/>
      <w:marBottom w:val="0"/>
      <w:divBdr>
        <w:top w:val="none" w:sz="0" w:space="0" w:color="auto"/>
        <w:left w:val="none" w:sz="0" w:space="0" w:color="auto"/>
        <w:bottom w:val="none" w:sz="0" w:space="0" w:color="auto"/>
        <w:right w:val="none" w:sz="0" w:space="0" w:color="auto"/>
      </w:divBdr>
    </w:div>
    <w:div w:id="758331167">
      <w:bodyDiv w:val="1"/>
      <w:marLeft w:val="0"/>
      <w:marRight w:val="0"/>
      <w:marTop w:val="0"/>
      <w:marBottom w:val="0"/>
      <w:divBdr>
        <w:top w:val="none" w:sz="0" w:space="0" w:color="auto"/>
        <w:left w:val="none" w:sz="0" w:space="0" w:color="auto"/>
        <w:bottom w:val="none" w:sz="0" w:space="0" w:color="auto"/>
        <w:right w:val="none" w:sz="0" w:space="0" w:color="auto"/>
      </w:divBdr>
    </w:div>
    <w:div w:id="762335004">
      <w:bodyDiv w:val="1"/>
      <w:marLeft w:val="0"/>
      <w:marRight w:val="0"/>
      <w:marTop w:val="0"/>
      <w:marBottom w:val="0"/>
      <w:divBdr>
        <w:top w:val="none" w:sz="0" w:space="0" w:color="auto"/>
        <w:left w:val="none" w:sz="0" w:space="0" w:color="auto"/>
        <w:bottom w:val="none" w:sz="0" w:space="0" w:color="auto"/>
        <w:right w:val="none" w:sz="0" w:space="0" w:color="auto"/>
      </w:divBdr>
    </w:div>
    <w:div w:id="789515812">
      <w:bodyDiv w:val="1"/>
      <w:marLeft w:val="0"/>
      <w:marRight w:val="0"/>
      <w:marTop w:val="0"/>
      <w:marBottom w:val="0"/>
      <w:divBdr>
        <w:top w:val="none" w:sz="0" w:space="0" w:color="auto"/>
        <w:left w:val="none" w:sz="0" w:space="0" w:color="auto"/>
        <w:bottom w:val="none" w:sz="0" w:space="0" w:color="auto"/>
        <w:right w:val="none" w:sz="0" w:space="0" w:color="auto"/>
      </w:divBdr>
    </w:div>
    <w:div w:id="791096960">
      <w:bodyDiv w:val="1"/>
      <w:marLeft w:val="0"/>
      <w:marRight w:val="0"/>
      <w:marTop w:val="0"/>
      <w:marBottom w:val="0"/>
      <w:divBdr>
        <w:top w:val="none" w:sz="0" w:space="0" w:color="auto"/>
        <w:left w:val="none" w:sz="0" w:space="0" w:color="auto"/>
        <w:bottom w:val="none" w:sz="0" w:space="0" w:color="auto"/>
        <w:right w:val="none" w:sz="0" w:space="0" w:color="auto"/>
      </w:divBdr>
    </w:div>
    <w:div w:id="809984801">
      <w:bodyDiv w:val="1"/>
      <w:marLeft w:val="0"/>
      <w:marRight w:val="0"/>
      <w:marTop w:val="0"/>
      <w:marBottom w:val="0"/>
      <w:divBdr>
        <w:top w:val="none" w:sz="0" w:space="0" w:color="auto"/>
        <w:left w:val="none" w:sz="0" w:space="0" w:color="auto"/>
        <w:bottom w:val="none" w:sz="0" w:space="0" w:color="auto"/>
        <w:right w:val="none" w:sz="0" w:space="0" w:color="auto"/>
      </w:divBdr>
    </w:div>
    <w:div w:id="829370715">
      <w:bodyDiv w:val="1"/>
      <w:marLeft w:val="0"/>
      <w:marRight w:val="0"/>
      <w:marTop w:val="0"/>
      <w:marBottom w:val="0"/>
      <w:divBdr>
        <w:top w:val="none" w:sz="0" w:space="0" w:color="auto"/>
        <w:left w:val="none" w:sz="0" w:space="0" w:color="auto"/>
        <w:bottom w:val="none" w:sz="0" w:space="0" w:color="auto"/>
        <w:right w:val="none" w:sz="0" w:space="0" w:color="auto"/>
      </w:divBdr>
    </w:div>
    <w:div w:id="841166289">
      <w:bodyDiv w:val="1"/>
      <w:marLeft w:val="0"/>
      <w:marRight w:val="0"/>
      <w:marTop w:val="0"/>
      <w:marBottom w:val="0"/>
      <w:divBdr>
        <w:top w:val="none" w:sz="0" w:space="0" w:color="auto"/>
        <w:left w:val="none" w:sz="0" w:space="0" w:color="auto"/>
        <w:bottom w:val="none" w:sz="0" w:space="0" w:color="auto"/>
        <w:right w:val="none" w:sz="0" w:space="0" w:color="auto"/>
      </w:divBdr>
      <w:divsChild>
        <w:div w:id="445153026">
          <w:marLeft w:val="1166"/>
          <w:marRight w:val="0"/>
          <w:marTop w:val="77"/>
          <w:marBottom w:val="0"/>
          <w:divBdr>
            <w:top w:val="none" w:sz="0" w:space="0" w:color="auto"/>
            <w:left w:val="none" w:sz="0" w:space="0" w:color="auto"/>
            <w:bottom w:val="none" w:sz="0" w:space="0" w:color="auto"/>
            <w:right w:val="none" w:sz="0" w:space="0" w:color="auto"/>
          </w:divBdr>
        </w:div>
        <w:div w:id="762653927">
          <w:marLeft w:val="1166"/>
          <w:marRight w:val="0"/>
          <w:marTop w:val="77"/>
          <w:marBottom w:val="0"/>
          <w:divBdr>
            <w:top w:val="none" w:sz="0" w:space="0" w:color="auto"/>
            <w:left w:val="none" w:sz="0" w:space="0" w:color="auto"/>
            <w:bottom w:val="none" w:sz="0" w:space="0" w:color="auto"/>
            <w:right w:val="none" w:sz="0" w:space="0" w:color="auto"/>
          </w:divBdr>
        </w:div>
        <w:div w:id="1110012104">
          <w:marLeft w:val="1166"/>
          <w:marRight w:val="0"/>
          <w:marTop w:val="77"/>
          <w:marBottom w:val="0"/>
          <w:divBdr>
            <w:top w:val="none" w:sz="0" w:space="0" w:color="auto"/>
            <w:left w:val="none" w:sz="0" w:space="0" w:color="auto"/>
            <w:bottom w:val="none" w:sz="0" w:space="0" w:color="auto"/>
            <w:right w:val="none" w:sz="0" w:space="0" w:color="auto"/>
          </w:divBdr>
        </w:div>
        <w:div w:id="1143233847">
          <w:marLeft w:val="1166"/>
          <w:marRight w:val="0"/>
          <w:marTop w:val="77"/>
          <w:marBottom w:val="0"/>
          <w:divBdr>
            <w:top w:val="none" w:sz="0" w:space="0" w:color="auto"/>
            <w:left w:val="none" w:sz="0" w:space="0" w:color="auto"/>
            <w:bottom w:val="none" w:sz="0" w:space="0" w:color="auto"/>
            <w:right w:val="none" w:sz="0" w:space="0" w:color="auto"/>
          </w:divBdr>
        </w:div>
      </w:divsChild>
    </w:div>
    <w:div w:id="843521248">
      <w:bodyDiv w:val="1"/>
      <w:marLeft w:val="0"/>
      <w:marRight w:val="0"/>
      <w:marTop w:val="0"/>
      <w:marBottom w:val="0"/>
      <w:divBdr>
        <w:top w:val="none" w:sz="0" w:space="0" w:color="auto"/>
        <w:left w:val="none" w:sz="0" w:space="0" w:color="auto"/>
        <w:bottom w:val="none" w:sz="0" w:space="0" w:color="auto"/>
        <w:right w:val="none" w:sz="0" w:space="0" w:color="auto"/>
      </w:divBdr>
    </w:div>
    <w:div w:id="870654969">
      <w:bodyDiv w:val="1"/>
      <w:marLeft w:val="0"/>
      <w:marRight w:val="0"/>
      <w:marTop w:val="0"/>
      <w:marBottom w:val="0"/>
      <w:divBdr>
        <w:top w:val="none" w:sz="0" w:space="0" w:color="auto"/>
        <w:left w:val="none" w:sz="0" w:space="0" w:color="auto"/>
        <w:bottom w:val="none" w:sz="0" w:space="0" w:color="auto"/>
        <w:right w:val="none" w:sz="0" w:space="0" w:color="auto"/>
      </w:divBdr>
    </w:div>
    <w:div w:id="898132162">
      <w:bodyDiv w:val="1"/>
      <w:marLeft w:val="0"/>
      <w:marRight w:val="0"/>
      <w:marTop w:val="0"/>
      <w:marBottom w:val="0"/>
      <w:divBdr>
        <w:top w:val="none" w:sz="0" w:space="0" w:color="auto"/>
        <w:left w:val="none" w:sz="0" w:space="0" w:color="auto"/>
        <w:bottom w:val="none" w:sz="0" w:space="0" w:color="auto"/>
        <w:right w:val="none" w:sz="0" w:space="0" w:color="auto"/>
      </w:divBdr>
      <w:divsChild>
        <w:div w:id="1730376194">
          <w:marLeft w:val="2074"/>
          <w:marRight w:val="0"/>
          <w:marTop w:val="0"/>
          <w:marBottom w:val="0"/>
          <w:divBdr>
            <w:top w:val="none" w:sz="0" w:space="0" w:color="auto"/>
            <w:left w:val="none" w:sz="0" w:space="0" w:color="auto"/>
            <w:bottom w:val="none" w:sz="0" w:space="0" w:color="auto"/>
            <w:right w:val="none" w:sz="0" w:space="0" w:color="auto"/>
          </w:divBdr>
        </w:div>
        <w:div w:id="723333482">
          <w:marLeft w:val="2074"/>
          <w:marRight w:val="0"/>
          <w:marTop w:val="0"/>
          <w:marBottom w:val="0"/>
          <w:divBdr>
            <w:top w:val="none" w:sz="0" w:space="0" w:color="auto"/>
            <w:left w:val="none" w:sz="0" w:space="0" w:color="auto"/>
            <w:bottom w:val="none" w:sz="0" w:space="0" w:color="auto"/>
            <w:right w:val="none" w:sz="0" w:space="0" w:color="auto"/>
          </w:divBdr>
        </w:div>
      </w:divsChild>
    </w:div>
    <w:div w:id="911046717">
      <w:bodyDiv w:val="1"/>
      <w:marLeft w:val="0"/>
      <w:marRight w:val="0"/>
      <w:marTop w:val="0"/>
      <w:marBottom w:val="0"/>
      <w:divBdr>
        <w:top w:val="none" w:sz="0" w:space="0" w:color="auto"/>
        <w:left w:val="none" w:sz="0" w:space="0" w:color="auto"/>
        <w:bottom w:val="none" w:sz="0" w:space="0" w:color="auto"/>
        <w:right w:val="none" w:sz="0" w:space="0" w:color="auto"/>
      </w:divBdr>
      <w:divsChild>
        <w:div w:id="547643998">
          <w:marLeft w:val="1166"/>
          <w:marRight w:val="0"/>
          <w:marTop w:val="77"/>
          <w:marBottom w:val="0"/>
          <w:divBdr>
            <w:top w:val="none" w:sz="0" w:space="0" w:color="auto"/>
            <w:left w:val="none" w:sz="0" w:space="0" w:color="auto"/>
            <w:bottom w:val="none" w:sz="0" w:space="0" w:color="auto"/>
            <w:right w:val="none" w:sz="0" w:space="0" w:color="auto"/>
          </w:divBdr>
        </w:div>
        <w:div w:id="1223558629">
          <w:marLeft w:val="1166"/>
          <w:marRight w:val="0"/>
          <w:marTop w:val="77"/>
          <w:marBottom w:val="0"/>
          <w:divBdr>
            <w:top w:val="none" w:sz="0" w:space="0" w:color="auto"/>
            <w:left w:val="none" w:sz="0" w:space="0" w:color="auto"/>
            <w:bottom w:val="none" w:sz="0" w:space="0" w:color="auto"/>
            <w:right w:val="none" w:sz="0" w:space="0" w:color="auto"/>
          </w:divBdr>
        </w:div>
        <w:div w:id="1752434763">
          <w:marLeft w:val="1166"/>
          <w:marRight w:val="0"/>
          <w:marTop w:val="77"/>
          <w:marBottom w:val="0"/>
          <w:divBdr>
            <w:top w:val="none" w:sz="0" w:space="0" w:color="auto"/>
            <w:left w:val="none" w:sz="0" w:space="0" w:color="auto"/>
            <w:bottom w:val="none" w:sz="0" w:space="0" w:color="auto"/>
            <w:right w:val="none" w:sz="0" w:space="0" w:color="auto"/>
          </w:divBdr>
        </w:div>
      </w:divsChild>
    </w:div>
    <w:div w:id="928923700">
      <w:bodyDiv w:val="1"/>
      <w:marLeft w:val="0"/>
      <w:marRight w:val="0"/>
      <w:marTop w:val="0"/>
      <w:marBottom w:val="0"/>
      <w:divBdr>
        <w:top w:val="none" w:sz="0" w:space="0" w:color="auto"/>
        <w:left w:val="none" w:sz="0" w:space="0" w:color="auto"/>
        <w:bottom w:val="none" w:sz="0" w:space="0" w:color="auto"/>
        <w:right w:val="none" w:sz="0" w:space="0" w:color="auto"/>
      </w:divBdr>
    </w:div>
    <w:div w:id="956640467">
      <w:bodyDiv w:val="1"/>
      <w:marLeft w:val="0"/>
      <w:marRight w:val="0"/>
      <w:marTop w:val="0"/>
      <w:marBottom w:val="0"/>
      <w:divBdr>
        <w:top w:val="none" w:sz="0" w:space="0" w:color="auto"/>
        <w:left w:val="none" w:sz="0" w:space="0" w:color="auto"/>
        <w:bottom w:val="none" w:sz="0" w:space="0" w:color="auto"/>
        <w:right w:val="none" w:sz="0" w:space="0" w:color="auto"/>
      </w:divBdr>
    </w:div>
    <w:div w:id="959188878">
      <w:bodyDiv w:val="1"/>
      <w:marLeft w:val="0"/>
      <w:marRight w:val="0"/>
      <w:marTop w:val="0"/>
      <w:marBottom w:val="0"/>
      <w:divBdr>
        <w:top w:val="none" w:sz="0" w:space="0" w:color="auto"/>
        <w:left w:val="none" w:sz="0" w:space="0" w:color="auto"/>
        <w:bottom w:val="none" w:sz="0" w:space="0" w:color="auto"/>
        <w:right w:val="none" w:sz="0" w:space="0" w:color="auto"/>
      </w:divBdr>
      <w:divsChild>
        <w:div w:id="283923059">
          <w:marLeft w:val="547"/>
          <w:marRight w:val="0"/>
          <w:marTop w:val="96"/>
          <w:marBottom w:val="0"/>
          <w:divBdr>
            <w:top w:val="none" w:sz="0" w:space="0" w:color="auto"/>
            <w:left w:val="none" w:sz="0" w:space="0" w:color="auto"/>
            <w:bottom w:val="none" w:sz="0" w:space="0" w:color="auto"/>
            <w:right w:val="none" w:sz="0" w:space="0" w:color="auto"/>
          </w:divBdr>
        </w:div>
        <w:div w:id="2144233193">
          <w:marLeft w:val="547"/>
          <w:marRight w:val="0"/>
          <w:marTop w:val="96"/>
          <w:marBottom w:val="0"/>
          <w:divBdr>
            <w:top w:val="none" w:sz="0" w:space="0" w:color="auto"/>
            <w:left w:val="none" w:sz="0" w:space="0" w:color="auto"/>
            <w:bottom w:val="none" w:sz="0" w:space="0" w:color="auto"/>
            <w:right w:val="none" w:sz="0" w:space="0" w:color="auto"/>
          </w:divBdr>
        </w:div>
      </w:divsChild>
    </w:div>
    <w:div w:id="966010871">
      <w:bodyDiv w:val="1"/>
      <w:marLeft w:val="0"/>
      <w:marRight w:val="0"/>
      <w:marTop w:val="0"/>
      <w:marBottom w:val="0"/>
      <w:divBdr>
        <w:top w:val="none" w:sz="0" w:space="0" w:color="auto"/>
        <w:left w:val="none" w:sz="0" w:space="0" w:color="auto"/>
        <w:bottom w:val="none" w:sz="0" w:space="0" w:color="auto"/>
        <w:right w:val="none" w:sz="0" w:space="0" w:color="auto"/>
      </w:divBdr>
    </w:div>
    <w:div w:id="1067458767">
      <w:bodyDiv w:val="1"/>
      <w:marLeft w:val="0"/>
      <w:marRight w:val="0"/>
      <w:marTop w:val="0"/>
      <w:marBottom w:val="0"/>
      <w:divBdr>
        <w:top w:val="none" w:sz="0" w:space="0" w:color="auto"/>
        <w:left w:val="none" w:sz="0" w:space="0" w:color="auto"/>
        <w:bottom w:val="none" w:sz="0" w:space="0" w:color="auto"/>
        <w:right w:val="none" w:sz="0" w:space="0" w:color="auto"/>
      </w:divBdr>
    </w:div>
    <w:div w:id="1078096637">
      <w:bodyDiv w:val="1"/>
      <w:marLeft w:val="0"/>
      <w:marRight w:val="0"/>
      <w:marTop w:val="0"/>
      <w:marBottom w:val="0"/>
      <w:divBdr>
        <w:top w:val="none" w:sz="0" w:space="0" w:color="auto"/>
        <w:left w:val="none" w:sz="0" w:space="0" w:color="auto"/>
        <w:bottom w:val="none" w:sz="0" w:space="0" w:color="auto"/>
        <w:right w:val="none" w:sz="0" w:space="0" w:color="auto"/>
      </w:divBdr>
    </w:div>
    <w:div w:id="1078283102">
      <w:bodyDiv w:val="1"/>
      <w:marLeft w:val="0"/>
      <w:marRight w:val="0"/>
      <w:marTop w:val="0"/>
      <w:marBottom w:val="0"/>
      <w:divBdr>
        <w:top w:val="none" w:sz="0" w:space="0" w:color="auto"/>
        <w:left w:val="none" w:sz="0" w:space="0" w:color="auto"/>
        <w:bottom w:val="none" w:sz="0" w:space="0" w:color="auto"/>
        <w:right w:val="none" w:sz="0" w:space="0" w:color="auto"/>
      </w:divBdr>
    </w:div>
    <w:div w:id="1091051950">
      <w:bodyDiv w:val="1"/>
      <w:marLeft w:val="0"/>
      <w:marRight w:val="0"/>
      <w:marTop w:val="0"/>
      <w:marBottom w:val="0"/>
      <w:divBdr>
        <w:top w:val="none" w:sz="0" w:space="0" w:color="auto"/>
        <w:left w:val="none" w:sz="0" w:space="0" w:color="auto"/>
        <w:bottom w:val="none" w:sz="0" w:space="0" w:color="auto"/>
        <w:right w:val="none" w:sz="0" w:space="0" w:color="auto"/>
      </w:divBdr>
    </w:div>
    <w:div w:id="1091391767">
      <w:bodyDiv w:val="1"/>
      <w:marLeft w:val="0"/>
      <w:marRight w:val="0"/>
      <w:marTop w:val="0"/>
      <w:marBottom w:val="0"/>
      <w:divBdr>
        <w:top w:val="none" w:sz="0" w:space="0" w:color="auto"/>
        <w:left w:val="none" w:sz="0" w:space="0" w:color="auto"/>
        <w:bottom w:val="none" w:sz="0" w:space="0" w:color="auto"/>
        <w:right w:val="none" w:sz="0" w:space="0" w:color="auto"/>
      </w:divBdr>
    </w:div>
    <w:div w:id="1094326505">
      <w:bodyDiv w:val="1"/>
      <w:marLeft w:val="0"/>
      <w:marRight w:val="0"/>
      <w:marTop w:val="0"/>
      <w:marBottom w:val="0"/>
      <w:divBdr>
        <w:top w:val="none" w:sz="0" w:space="0" w:color="auto"/>
        <w:left w:val="none" w:sz="0" w:space="0" w:color="auto"/>
        <w:bottom w:val="none" w:sz="0" w:space="0" w:color="auto"/>
        <w:right w:val="none" w:sz="0" w:space="0" w:color="auto"/>
      </w:divBdr>
      <w:divsChild>
        <w:div w:id="27610105">
          <w:marLeft w:val="1166"/>
          <w:marRight w:val="0"/>
          <w:marTop w:val="86"/>
          <w:marBottom w:val="0"/>
          <w:divBdr>
            <w:top w:val="none" w:sz="0" w:space="0" w:color="auto"/>
            <w:left w:val="none" w:sz="0" w:space="0" w:color="auto"/>
            <w:bottom w:val="none" w:sz="0" w:space="0" w:color="auto"/>
            <w:right w:val="none" w:sz="0" w:space="0" w:color="auto"/>
          </w:divBdr>
        </w:div>
        <w:div w:id="721516816">
          <w:marLeft w:val="1166"/>
          <w:marRight w:val="0"/>
          <w:marTop w:val="86"/>
          <w:marBottom w:val="0"/>
          <w:divBdr>
            <w:top w:val="none" w:sz="0" w:space="0" w:color="auto"/>
            <w:left w:val="none" w:sz="0" w:space="0" w:color="auto"/>
            <w:bottom w:val="none" w:sz="0" w:space="0" w:color="auto"/>
            <w:right w:val="none" w:sz="0" w:space="0" w:color="auto"/>
          </w:divBdr>
        </w:div>
        <w:div w:id="1882130874">
          <w:marLeft w:val="547"/>
          <w:marRight w:val="0"/>
          <w:marTop w:val="96"/>
          <w:marBottom w:val="0"/>
          <w:divBdr>
            <w:top w:val="none" w:sz="0" w:space="0" w:color="auto"/>
            <w:left w:val="none" w:sz="0" w:space="0" w:color="auto"/>
            <w:bottom w:val="none" w:sz="0" w:space="0" w:color="auto"/>
            <w:right w:val="none" w:sz="0" w:space="0" w:color="auto"/>
          </w:divBdr>
        </w:div>
      </w:divsChild>
    </w:div>
    <w:div w:id="1096361242">
      <w:bodyDiv w:val="1"/>
      <w:marLeft w:val="0"/>
      <w:marRight w:val="0"/>
      <w:marTop w:val="0"/>
      <w:marBottom w:val="0"/>
      <w:divBdr>
        <w:top w:val="none" w:sz="0" w:space="0" w:color="auto"/>
        <w:left w:val="none" w:sz="0" w:space="0" w:color="auto"/>
        <w:bottom w:val="none" w:sz="0" w:space="0" w:color="auto"/>
        <w:right w:val="none" w:sz="0" w:space="0" w:color="auto"/>
      </w:divBdr>
    </w:div>
    <w:div w:id="1106271197">
      <w:bodyDiv w:val="1"/>
      <w:marLeft w:val="0"/>
      <w:marRight w:val="0"/>
      <w:marTop w:val="0"/>
      <w:marBottom w:val="0"/>
      <w:divBdr>
        <w:top w:val="none" w:sz="0" w:space="0" w:color="auto"/>
        <w:left w:val="none" w:sz="0" w:space="0" w:color="auto"/>
        <w:bottom w:val="none" w:sz="0" w:space="0" w:color="auto"/>
        <w:right w:val="none" w:sz="0" w:space="0" w:color="auto"/>
      </w:divBdr>
      <w:divsChild>
        <w:div w:id="1801655546">
          <w:marLeft w:val="1166"/>
          <w:marRight w:val="0"/>
          <w:marTop w:val="77"/>
          <w:marBottom w:val="0"/>
          <w:divBdr>
            <w:top w:val="none" w:sz="0" w:space="0" w:color="auto"/>
            <w:left w:val="none" w:sz="0" w:space="0" w:color="auto"/>
            <w:bottom w:val="none" w:sz="0" w:space="0" w:color="auto"/>
            <w:right w:val="none" w:sz="0" w:space="0" w:color="auto"/>
          </w:divBdr>
        </w:div>
      </w:divsChild>
    </w:div>
    <w:div w:id="1118448752">
      <w:bodyDiv w:val="1"/>
      <w:marLeft w:val="0"/>
      <w:marRight w:val="0"/>
      <w:marTop w:val="0"/>
      <w:marBottom w:val="0"/>
      <w:divBdr>
        <w:top w:val="none" w:sz="0" w:space="0" w:color="auto"/>
        <w:left w:val="none" w:sz="0" w:space="0" w:color="auto"/>
        <w:bottom w:val="none" w:sz="0" w:space="0" w:color="auto"/>
        <w:right w:val="none" w:sz="0" w:space="0" w:color="auto"/>
      </w:divBdr>
    </w:div>
    <w:div w:id="1157302935">
      <w:bodyDiv w:val="1"/>
      <w:marLeft w:val="0"/>
      <w:marRight w:val="0"/>
      <w:marTop w:val="0"/>
      <w:marBottom w:val="0"/>
      <w:divBdr>
        <w:top w:val="none" w:sz="0" w:space="0" w:color="auto"/>
        <w:left w:val="none" w:sz="0" w:space="0" w:color="auto"/>
        <w:bottom w:val="none" w:sz="0" w:space="0" w:color="auto"/>
        <w:right w:val="none" w:sz="0" w:space="0" w:color="auto"/>
      </w:divBdr>
    </w:div>
    <w:div w:id="1160736294">
      <w:bodyDiv w:val="1"/>
      <w:marLeft w:val="0"/>
      <w:marRight w:val="0"/>
      <w:marTop w:val="0"/>
      <w:marBottom w:val="0"/>
      <w:divBdr>
        <w:top w:val="none" w:sz="0" w:space="0" w:color="auto"/>
        <w:left w:val="none" w:sz="0" w:space="0" w:color="auto"/>
        <w:bottom w:val="none" w:sz="0" w:space="0" w:color="auto"/>
        <w:right w:val="none" w:sz="0" w:space="0" w:color="auto"/>
      </w:divBdr>
    </w:div>
    <w:div w:id="1172719977">
      <w:bodyDiv w:val="1"/>
      <w:marLeft w:val="0"/>
      <w:marRight w:val="0"/>
      <w:marTop w:val="0"/>
      <w:marBottom w:val="0"/>
      <w:divBdr>
        <w:top w:val="none" w:sz="0" w:space="0" w:color="auto"/>
        <w:left w:val="none" w:sz="0" w:space="0" w:color="auto"/>
        <w:bottom w:val="none" w:sz="0" w:space="0" w:color="auto"/>
        <w:right w:val="none" w:sz="0" w:space="0" w:color="auto"/>
      </w:divBdr>
    </w:div>
    <w:div w:id="1174995817">
      <w:bodyDiv w:val="1"/>
      <w:marLeft w:val="0"/>
      <w:marRight w:val="0"/>
      <w:marTop w:val="0"/>
      <w:marBottom w:val="0"/>
      <w:divBdr>
        <w:top w:val="none" w:sz="0" w:space="0" w:color="auto"/>
        <w:left w:val="none" w:sz="0" w:space="0" w:color="auto"/>
        <w:bottom w:val="none" w:sz="0" w:space="0" w:color="auto"/>
        <w:right w:val="none" w:sz="0" w:space="0" w:color="auto"/>
      </w:divBdr>
    </w:div>
    <w:div w:id="1230455086">
      <w:bodyDiv w:val="1"/>
      <w:marLeft w:val="0"/>
      <w:marRight w:val="0"/>
      <w:marTop w:val="0"/>
      <w:marBottom w:val="0"/>
      <w:divBdr>
        <w:top w:val="none" w:sz="0" w:space="0" w:color="auto"/>
        <w:left w:val="none" w:sz="0" w:space="0" w:color="auto"/>
        <w:bottom w:val="none" w:sz="0" w:space="0" w:color="auto"/>
        <w:right w:val="none" w:sz="0" w:space="0" w:color="auto"/>
      </w:divBdr>
    </w:div>
    <w:div w:id="1250893266">
      <w:bodyDiv w:val="1"/>
      <w:marLeft w:val="0"/>
      <w:marRight w:val="0"/>
      <w:marTop w:val="0"/>
      <w:marBottom w:val="0"/>
      <w:divBdr>
        <w:top w:val="none" w:sz="0" w:space="0" w:color="auto"/>
        <w:left w:val="none" w:sz="0" w:space="0" w:color="auto"/>
        <w:bottom w:val="none" w:sz="0" w:space="0" w:color="auto"/>
        <w:right w:val="none" w:sz="0" w:space="0" w:color="auto"/>
      </w:divBdr>
    </w:div>
    <w:div w:id="1273318367">
      <w:bodyDiv w:val="1"/>
      <w:marLeft w:val="0"/>
      <w:marRight w:val="0"/>
      <w:marTop w:val="0"/>
      <w:marBottom w:val="0"/>
      <w:divBdr>
        <w:top w:val="none" w:sz="0" w:space="0" w:color="auto"/>
        <w:left w:val="none" w:sz="0" w:space="0" w:color="auto"/>
        <w:bottom w:val="none" w:sz="0" w:space="0" w:color="auto"/>
        <w:right w:val="none" w:sz="0" w:space="0" w:color="auto"/>
      </w:divBdr>
      <w:divsChild>
        <w:div w:id="646588801">
          <w:marLeft w:val="547"/>
          <w:marRight w:val="0"/>
          <w:marTop w:val="96"/>
          <w:marBottom w:val="0"/>
          <w:divBdr>
            <w:top w:val="none" w:sz="0" w:space="0" w:color="auto"/>
            <w:left w:val="none" w:sz="0" w:space="0" w:color="auto"/>
            <w:bottom w:val="none" w:sz="0" w:space="0" w:color="auto"/>
            <w:right w:val="none" w:sz="0" w:space="0" w:color="auto"/>
          </w:divBdr>
        </w:div>
        <w:div w:id="1354453629">
          <w:marLeft w:val="547"/>
          <w:marRight w:val="0"/>
          <w:marTop w:val="96"/>
          <w:marBottom w:val="0"/>
          <w:divBdr>
            <w:top w:val="none" w:sz="0" w:space="0" w:color="auto"/>
            <w:left w:val="none" w:sz="0" w:space="0" w:color="auto"/>
            <w:bottom w:val="none" w:sz="0" w:space="0" w:color="auto"/>
            <w:right w:val="none" w:sz="0" w:space="0" w:color="auto"/>
          </w:divBdr>
        </w:div>
        <w:div w:id="1491562145">
          <w:marLeft w:val="547"/>
          <w:marRight w:val="0"/>
          <w:marTop w:val="96"/>
          <w:marBottom w:val="0"/>
          <w:divBdr>
            <w:top w:val="none" w:sz="0" w:space="0" w:color="auto"/>
            <w:left w:val="none" w:sz="0" w:space="0" w:color="auto"/>
            <w:bottom w:val="none" w:sz="0" w:space="0" w:color="auto"/>
            <w:right w:val="none" w:sz="0" w:space="0" w:color="auto"/>
          </w:divBdr>
        </w:div>
        <w:div w:id="2036692012">
          <w:marLeft w:val="547"/>
          <w:marRight w:val="0"/>
          <w:marTop w:val="96"/>
          <w:marBottom w:val="0"/>
          <w:divBdr>
            <w:top w:val="none" w:sz="0" w:space="0" w:color="auto"/>
            <w:left w:val="none" w:sz="0" w:space="0" w:color="auto"/>
            <w:bottom w:val="none" w:sz="0" w:space="0" w:color="auto"/>
            <w:right w:val="none" w:sz="0" w:space="0" w:color="auto"/>
          </w:divBdr>
        </w:div>
      </w:divsChild>
    </w:div>
    <w:div w:id="1290669414">
      <w:bodyDiv w:val="1"/>
      <w:marLeft w:val="0"/>
      <w:marRight w:val="0"/>
      <w:marTop w:val="0"/>
      <w:marBottom w:val="0"/>
      <w:divBdr>
        <w:top w:val="none" w:sz="0" w:space="0" w:color="auto"/>
        <w:left w:val="none" w:sz="0" w:space="0" w:color="auto"/>
        <w:bottom w:val="none" w:sz="0" w:space="0" w:color="auto"/>
        <w:right w:val="none" w:sz="0" w:space="0" w:color="auto"/>
      </w:divBdr>
    </w:div>
    <w:div w:id="1291715088">
      <w:bodyDiv w:val="1"/>
      <w:marLeft w:val="0"/>
      <w:marRight w:val="0"/>
      <w:marTop w:val="0"/>
      <w:marBottom w:val="0"/>
      <w:divBdr>
        <w:top w:val="none" w:sz="0" w:space="0" w:color="auto"/>
        <w:left w:val="none" w:sz="0" w:space="0" w:color="auto"/>
        <w:bottom w:val="none" w:sz="0" w:space="0" w:color="auto"/>
        <w:right w:val="none" w:sz="0" w:space="0" w:color="auto"/>
      </w:divBdr>
      <w:divsChild>
        <w:div w:id="183860395">
          <w:marLeft w:val="547"/>
          <w:marRight w:val="0"/>
          <w:marTop w:val="96"/>
          <w:marBottom w:val="0"/>
          <w:divBdr>
            <w:top w:val="none" w:sz="0" w:space="0" w:color="auto"/>
            <w:left w:val="none" w:sz="0" w:space="0" w:color="auto"/>
            <w:bottom w:val="none" w:sz="0" w:space="0" w:color="auto"/>
            <w:right w:val="none" w:sz="0" w:space="0" w:color="auto"/>
          </w:divBdr>
        </w:div>
      </w:divsChild>
    </w:div>
    <w:div w:id="1304696627">
      <w:bodyDiv w:val="1"/>
      <w:marLeft w:val="0"/>
      <w:marRight w:val="0"/>
      <w:marTop w:val="0"/>
      <w:marBottom w:val="0"/>
      <w:divBdr>
        <w:top w:val="none" w:sz="0" w:space="0" w:color="auto"/>
        <w:left w:val="none" w:sz="0" w:space="0" w:color="auto"/>
        <w:bottom w:val="none" w:sz="0" w:space="0" w:color="auto"/>
        <w:right w:val="none" w:sz="0" w:space="0" w:color="auto"/>
      </w:divBdr>
    </w:div>
    <w:div w:id="1320309348">
      <w:bodyDiv w:val="1"/>
      <w:marLeft w:val="0"/>
      <w:marRight w:val="0"/>
      <w:marTop w:val="0"/>
      <w:marBottom w:val="0"/>
      <w:divBdr>
        <w:top w:val="none" w:sz="0" w:space="0" w:color="auto"/>
        <w:left w:val="none" w:sz="0" w:space="0" w:color="auto"/>
        <w:bottom w:val="none" w:sz="0" w:space="0" w:color="auto"/>
        <w:right w:val="none" w:sz="0" w:space="0" w:color="auto"/>
      </w:divBdr>
    </w:div>
    <w:div w:id="1327246749">
      <w:bodyDiv w:val="1"/>
      <w:marLeft w:val="0"/>
      <w:marRight w:val="0"/>
      <w:marTop w:val="0"/>
      <w:marBottom w:val="0"/>
      <w:divBdr>
        <w:top w:val="none" w:sz="0" w:space="0" w:color="auto"/>
        <w:left w:val="none" w:sz="0" w:space="0" w:color="auto"/>
        <w:bottom w:val="none" w:sz="0" w:space="0" w:color="auto"/>
        <w:right w:val="none" w:sz="0" w:space="0" w:color="auto"/>
      </w:divBdr>
      <w:divsChild>
        <w:div w:id="848638197">
          <w:marLeft w:val="1166"/>
          <w:marRight w:val="0"/>
          <w:marTop w:val="77"/>
          <w:marBottom w:val="0"/>
          <w:divBdr>
            <w:top w:val="none" w:sz="0" w:space="0" w:color="auto"/>
            <w:left w:val="none" w:sz="0" w:space="0" w:color="auto"/>
            <w:bottom w:val="none" w:sz="0" w:space="0" w:color="auto"/>
            <w:right w:val="none" w:sz="0" w:space="0" w:color="auto"/>
          </w:divBdr>
        </w:div>
        <w:div w:id="965046953">
          <w:marLeft w:val="1166"/>
          <w:marRight w:val="0"/>
          <w:marTop w:val="77"/>
          <w:marBottom w:val="0"/>
          <w:divBdr>
            <w:top w:val="none" w:sz="0" w:space="0" w:color="auto"/>
            <w:left w:val="none" w:sz="0" w:space="0" w:color="auto"/>
            <w:bottom w:val="none" w:sz="0" w:space="0" w:color="auto"/>
            <w:right w:val="none" w:sz="0" w:space="0" w:color="auto"/>
          </w:divBdr>
        </w:div>
        <w:div w:id="1924534148">
          <w:marLeft w:val="1166"/>
          <w:marRight w:val="0"/>
          <w:marTop w:val="77"/>
          <w:marBottom w:val="0"/>
          <w:divBdr>
            <w:top w:val="none" w:sz="0" w:space="0" w:color="auto"/>
            <w:left w:val="none" w:sz="0" w:space="0" w:color="auto"/>
            <w:bottom w:val="none" w:sz="0" w:space="0" w:color="auto"/>
            <w:right w:val="none" w:sz="0" w:space="0" w:color="auto"/>
          </w:divBdr>
        </w:div>
      </w:divsChild>
    </w:div>
    <w:div w:id="1341392096">
      <w:bodyDiv w:val="1"/>
      <w:marLeft w:val="0"/>
      <w:marRight w:val="0"/>
      <w:marTop w:val="0"/>
      <w:marBottom w:val="0"/>
      <w:divBdr>
        <w:top w:val="none" w:sz="0" w:space="0" w:color="auto"/>
        <w:left w:val="none" w:sz="0" w:space="0" w:color="auto"/>
        <w:bottom w:val="none" w:sz="0" w:space="0" w:color="auto"/>
        <w:right w:val="none" w:sz="0" w:space="0" w:color="auto"/>
      </w:divBdr>
      <w:divsChild>
        <w:div w:id="13042339">
          <w:marLeft w:val="1166"/>
          <w:marRight w:val="0"/>
          <w:marTop w:val="77"/>
          <w:marBottom w:val="0"/>
          <w:divBdr>
            <w:top w:val="none" w:sz="0" w:space="0" w:color="auto"/>
            <w:left w:val="none" w:sz="0" w:space="0" w:color="auto"/>
            <w:bottom w:val="none" w:sz="0" w:space="0" w:color="auto"/>
            <w:right w:val="none" w:sz="0" w:space="0" w:color="auto"/>
          </w:divBdr>
        </w:div>
        <w:div w:id="308245341">
          <w:marLeft w:val="1166"/>
          <w:marRight w:val="0"/>
          <w:marTop w:val="77"/>
          <w:marBottom w:val="0"/>
          <w:divBdr>
            <w:top w:val="none" w:sz="0" w:space="0" w:color="auto"/>
            <w:left w:val="none" w:sz="0" w:space="0" w:color="auto"/>
            <w:bottom w:val="none" w:sz="0" w:space="0" w:color="auto"/>
            <w:right w:val="none" w:sz="0" w:space="0" w:color="auto"/>
          </w:divBdr>
        </w:div>
        <w:div w:id="333578610">
          <w:marLeft w:val="1166"/>
          <w:marRight w:val="0"/>
          <w:marTop w:val="77"/>
          <w:marBottom w:val="0"/>
          <w:divBdr>
            <w:top w:val="none" w:sz="0" w:space="0" w:color="auto"/>
            <w:left w:val="none" w:sz="0" w:space="0" w:color="auto"/>
            <w:bottom w:val="none" w:sz="0" w:space="0" w:color="auto"/>
            <w:right w:val="none" w:sz="0" w:space="0" w:color="auto"/>
          </w:divBdr>
        </w:div>
        <w:div w:id="578365234">
          <w:marLeft w:val="1166"/>
          <w:marRight w:val="0"/>
          <w:marTop w:val="77"/>
          <w:marBottom w:val="0"/>
          <w:divBdr>
            <w:top w:val="none" w:sz="0" w:space="0" w:color="auto"/>
            <w:left w:val="none" w:sz="0" w:space="0" w:color="auto"/>
            <w:bottom w:val="none" w:sz="0" w:space="0" w:color="auto"/>
            <w:right w:val="none" w:sz="0" w:space="0" w:color="auto"/>
          </w:divBdr>
        </w:div>
        <w:div w:id="686370412">
          <w:marLeft w:val="547"/>
          <w:marRight w:val="0"/>
          <w:marTop w:val="96"/>
          <w:marBottom w:val="0"/>
          <w:divBdr>
            <w:top w:val="none" w:sz="0" w:space="0" w:color="auto"/>
            <w:left w:val="none" w:sz="0" w:space="0" w:color="auto"/>
            <w:bottom w:val="none" w:sz="0" w:space="0" w:color="auto"/>
            <w:right w:val="none" w:sz="0" w:space="0" w:color="auto"/>
          </w:divBdr>
        </w:div>
        <w:div w:id="900209766">
          <w:marLeft w:val="1166"/>
          <w:marRight w:val="0"/>
          <w:marTop w:val="77"/>
          <w:marBottom w:val="0"/>
          <w:divBdr>
            <w:top w:val="none" w:sz="0" w:space="0" w:color="auto"/>
            <w:left w:val="none" w:sz="0" w:space="0" w:color="auto"/>
            <w:bottom w:val="none" w:sz="0" w:space="0" w:color="auto"/>
            <w:right w:val="none" w:sz="0" w:space="0" w:color="auto"/>
          </w:divBdr>
        </w:div>
        <w:div w:id="1070034870">
          <w:marLeft w:val="1166"/>
          <w:marRight w:val="0"/>
          <w:marTop w:val="77"/>
          <w:marBottom w:val="0"/>
          <w:divBdr>
            <w:top w:val="none" w:sz="0" w:space="0" w:color="auto"/>
            <w:left w:val="none" w:sz="0" w:space="0" w:color="auto"/>
            <w:bottom w:val="none" w:sz="0" w:space="0" w:color="auto"/>
            <w:right w:val="none" w:sz="0" w:space="0" w:color="auto"/>
          </w:divBdr>
        </w:div>
        <w:div w:id="1132868011">
          <w:marLeft w:val="547"/>
          <w:marRight w:val="0"/>
          <w:marTop w:val="96"/>
          <w:marBottom w:val="0"/>
          <w:divBdr>
            <w:top w:val="none" w:sz="0" w:space="0" w:color="auto"/>
            <w:left w:val="none" w:sz="0" w:space="0" w:color="auto"/>
            <w:bottom w:val="none" w:sz="0" w:space="0" w:color="auto"/>
            <w:right w:val="none" w:sz="0" w:space="0" w:color="auto"/>
          </w:divBdr>
        </w:div>
        <w:div w:id="1360159656">
          <w:marLeft w:val="1166"/>
          <w:marRight w:val="0"/>
          <w:marTop w:val="77"/>
          <w:marBottom w:val="0"/>
          <w:divBdr>
            <w:top w:val="none" w:sz="0" w:space="0" w:color="auto"/>
            <w:left w:val="none" w:sz="0" w:space="0" w:color="auto"/>
            <w:bottom w:val="none" w:sz="0" w:space="0" w:color="auto"/>
            <w:right w:val="none" w:sz="0" w:space="0" w:color="auto"/>
          </w:divBdr>
        </w:div>
        <w:div w:id="1604416393">
          <w:marLeft w:val="1166"/>
          <w:marRight w:val="0"/>
          <w:marTop w:val="77"/>
          <w:marBottom w:val="0"/>
          <w:divBdr>
            <w:top w:val="none" w:sz="0" w:space="0" w:color="auto"/>
            <w:left w:val="none" w:sz="0" w:space="0" w:color="auto"/>
            <w:bottom w:val="none" w:sz="0" w:space="0" w:color="auto"/>
            <w:right w:val="none" w:sz="0" w:space="0" w:color="auto"/>
          </w:divBdr>
        </w:div>
        <w:div w:id="1735733049">
          <w:marLeft w:val="1166"/>
          <w:marRight w:val="0"/>
          <w:marTop w:val="77"/>
          <w:marBottom w:val="0"/>
          <w:divBdr>
            <w:top w:val="none" w:sz="0" w:space="0" w:color="auto"/>
            <w:left w:val="none" w:sz="0" w:space="0" w:color="auto"/>
            <w:bottom w:val="none" w:sz="0" w:space="0" w:color="auto"/>
            <w:right w:val="none" w:sz="0" w:space="0" w:color="auto"/>
          </w:divBdr>
        </w:div>
        <w:div w:id="1754819829">
          <w:marLeft w:val="1166"/>
          <w:marRight w:val="0"/>
          <w:marTop w:val="77"/>
          <w:marBottom w:val="0"/>
          <w:divBdr>
            <w:top w:val="none" w:sz="0" w:space="0" w:color="auto"/>
            <w:left w:val="none" w:sz="0" w:space="0" w:color="auto"/>
            <w:bottom w:val="none" w:sz="0" w:space="0" w:color="auto"/>
            <w:right w:val="none" w:sz="0" w:space="0" w:color="auto"/>
          </w:divBdr>
        </w:div>
        <w:div w:id="1837722944">
          <w:marLeft w:val="547"/>
          <w:marRight w:val="0"/>
          <w:marTop w:val="96"/>
          <w:marBottom w:val="0"/>
          <w:divBdr>
            <w:top w:val="none" w:sz="0" w:space="0" w:color="auto"/>
            <w:left w:val="none" w:sz="0" w:space="0" w:color="auto"/>
            <w:bottom w:val="none" w:sz="0" w:space="0" w:color="auto"/>
            <w:right w:val="none" w:sz="0" w:space="0" w:color="auto"/>
          </w:divBdr>
        </w:div>
        <w:div w:id="1848712234">
          <w:marLeft w:val="1166"/>
          <w:marRight w:val="0"/>
          <w:marTop w:val="77"/>
          <w:marBottom w:val="0"/>
          <w:divBdr>
            <w:top w:val="none" w:sz="0" w:space="0" w:color="auto"/>
            <w:left w:val="none" w:sz="0" w:space="0" w:color="auto"/>
            <w:bottom w:val="none" w:sz="0" w:space="0" w:color="auto"/>
            <w:right w:val="none" w:sz="0" w:space="0" w:color="auto"/>
          </w:divBdr>
        </w:div>
        <w:div w:id="1988776634">
          <w:marLeft w:val="1166"/>
          <w:marRight w:val="0"/>
          <w:marTop w:val="77"/>
          <w:marBottom w:val="0"/>
          <w:divBdr>
            <w:top w:val="none" w:sz="0" w:space="0" w:color="auto"/>
            <w:left w:val="none" w:sz="0" w:space="0" w:color="auto"/>
            <w:bottom w:val="none" w:sz="0" w:space="0" w:color="auto"/>
            <w:right w:val="none" w:sz="0" w:space="0" w:color="auto"/>
          </w:divBdr>
        </w:div>
      </w:divsChild>
    </w:div>
    <w:div w:id="1341930825">
      <w:bodyDiv w:val="1"/>
      <w:marLeft w:val="0"/>
      <w:marRight w:val="0"/>
      <w:marTop w:val="0"/>
      <w:marBottom w:val="0"/>
      <w:divBdr>
        <w:top w:val="none" w:sz="0" w:space="0" w:color="auto"/>
        <w:left w:val="none" w:sz="0" w:space="0" w:color="auto"/>
        <w:bottom w:val="none" w:sz="0" w:space="0" w:color="auto"/>
        <w:right w:val="none" w:sz="0" w:space="0" w:color="auto"/>
      </w:divBdr>
    </w:div>
    <w:div w:id="1346401432">
      <w:bodyDiv w:val="1"/>
      <w:marLeft w:val="0"/>
      <w:marRight w:val="0"/>
      <w:marTop w:val="0"/>
      <w:marBottom w:val="0"/>
      <w:divBdr>
        <w:top w:val="none" w:sz="0" w:space="0" w:color="auto"/>
        <w:left w:val="none" w:sz="0" w:space="0" w:color="auto"/>
        <w:bottom w:val="none" w:sz="0" w:space="0" w:color="auto"/>
        <w:right w:val="none" w:sz="0" w:space="0" w:color="auto"/>
      </w:divBdr>
    </w:div>
    <w:div w:id="1355888711">
      <w:bodyDiv w:val="1"/>
      <w:marLeft w:val="0"/>
      <w:marRight w:val="0"/>
      <w:marTop w:val="0"/>
      <w:marBottom w:val="0"/>
      <w:divBdr>
        <w:top w:val="none" w:sz="0" w:space="0" w:color="auto"/>
        <w:left w:val="none" w:sz="0" w:space="0" w:color="auto"/>
        <w:bottom w:val="none" w:sz="0" w:space="0" w:color="auto"/>
        <w:right w:val="none" w:sz="0" w:space="0" w:color="auto"/>
      </w:divBdr>
    </w:div>
    <w:div w:id="1391880505">
      <w:bodyDiv w:val="1"/>
      <w:marLeft w:val="0"/>
      <w:marRight w:val="0"/>
      <w:marTop w:val="0"/>
      <w:marBottom w:val="0"/>
      <w:divBdr>
        <w:top w:val="none" w:sz="0" w:space="0" w:color="auto"/>
        <w:left w:val="none" w:sz="0" w:space="0" w:color="auto"/>
        <w:bottom w:val="none" w:sz="0" w:space="0" w:color="auto"/>
        <w:right w:val="none" w:sz="0" w:space="0" w:color="auto"/>
      </w:divBdr>
    </w:div>
    <w:div w:id="1401365240">
      <w:bodyDiv w:val="1"/>
      <w:marLeft w:val="0"/>
      <w:marRight w:val="0"/>
      <w:marTop w:val="0"/>
      <w:marBottom w:val="0"/>
      <w:divBdr>
        <w:top w:val="none" w:sz="0" w:space="0" w:color="auto"/>
        <w:left w:val="none" w:sz="0" w:space="0" w:color="auto"/>
        <w:bottom w:val="none" w:sz="0" w:space="0" w:color="auto"/>
        <w:right w:val="none" w:sz="0" w:space="0" w:color="auto"/>
      </w:divBdr>
    </w:div>
    <w:div w:id="1402755005">
      <w:bodyDiv w:val="1"/>
      <w:marLeft w:val="0"/>
      <w:marRight w:val="0"/>
      <w:marTop w:val="0"/>
      <w:marBottom w:val="0"/>
      <w:divBdr>
        <w:top w:val="none" w:sz="0" w:space="0" w:color="auto"/>
        <w:left w:val="none" w:sz="0" w:space="0" w:color="auto"/>
        <w:bottom w:val="none" w:sz="0" w:space="0" w:color="auto"/>
        <w:right w:val="none" w:sz="0" w:space="0" w:color="auto"/>
      </w:divBdr>
      <w:divsChild>
        <w:div w:id="59406043">
          <w:marLeft w:val="1166"/>
          <w:marRight w:val="0"/>
          <w:marTop w:val="77"/>
          <w:marBottom w:val="0"/>
          <w:divBdr>
            <w:top w:val="none" w:sz="0" w:space="0" w:color="auto"/>
            <w:left w:val="none" w:sz="0" w:space="0" w:color="auto"/>
            <w:bottom w:val="none" w:sz="0" w:space="0" w:color="auto"/>
            <w:right w:val="none" w:sz="0" w:space="0" w:color="auto"/>
          </w:divBdr>
        </w:div>
        <w:div w:id="1495298478">
          <w:marLeft w:val="1166"/>
          <w:marRight w:val="0"/>
          <w:marTop w:val="77"/>
          <w:marBottom w:val="0"/>
          <w:divBdr>
            <w:top w:val="none" w:sz="0" w:space="0" w:color="auto"/>
            <w:left w:val="none" w:sz="0" w:space="0" w:color="auto"/>
            <w:bottom w:val="none" w:sz="0" w:space="0" w:color="auto"/>
            <w:right w:val="none" w:sz="0" w:space="0" w:color="auto"/>
          </w:divBdr>
        </w:div>
      </w:divsChild>
    </w:div>
    <w:div w:id="1406875371">
      <w:bodyDiv w:val="1"/>
      <w:marLeft w:val="0"/>
      <w:marRight w:val="0"/>
      <w:marTop w:val="0"/>
      <w:marBottom w:val="0"/>
      <w:divBdr>
        <w:top w:val="none" w:sz="0" w:space="0" w:color="auto"/>
        <w:left w:val="none" w:sz="0" w:space="0" w:color="auto"/>
        <w:bottom w:val="none" w:sz="0" w:space="0" w:color="auto"/>
        <w:right w:val="none" w:sz="0" w:space="0" w:color="auto"/>
      </w:divBdr>
      <w:divsChild>
        <w:div w:id="236134518">
          <w:marLeft w:val="547"/>
          <w:marRight w:val="0"/>
          <w:marTop w:val="96"/>
          <w:marBottom w:val="0"/>
          <w:divBdr>
            <w:top w:val="none" w:sz="0" w:space="0" w:color="auto"/>
            <w:left w:val="none" w:sz="0" w:space="0" w:color="auto"/>
            <w:bottom w:val="none" w:sz="0" w:space="0" w:color="auto"/>
            <w:right w:val="none" w:sz="0" w:space="0" w:color="auto"/>
          </w:divBdr>
        </w:div>
      </w:divsChild>
    </w:div>
    <w:div w:id="1412040724">
      <w:bodyDiv w:val="1"/>
      <w:marLeft w:val="0"/>
      <w:marRight w:val="0"/>
      <w:marTop w:val="0"/>
      <w:marBottom w:val="0"/>
      <w:divBdr>
        <w:top w:val="none" w:sz="0" w:space="0" w:color="auto"/>
        <w:left w:val="none" w:sz="0" w:space="0" w:color="auto"/>
        <w:bottom w:val="none" w:sz="0" w:space="0" w:color="auto"/>
        <w:right w:val="none" w:sz="0" w:space="0" w:color="auto"/>
      </w:divBdr>
    </w:div>
    <w:div w:id="1443571301">
      <w:bodyDiv w:val="1"/>
      <w:marLeft w:val="0"/>
      <w:marRight w:val="0"/>
      <w:marTop w:val="0"/>
      <w:marBottom w:val="0"/>
      <w:divBdr>
        <w:top w:val="none" w:sz="0" w:space="0" w:color="auto"/>
        <w:left w:val="none" w:sz="0" w:space="0" w:color="auto"/>
        <w:bottom w:val="none" w:sz="0" w:space="0" w:color="auto"/>
        <w:right w:val="none" w:sz="0" w:space="0" w:color="auto"/>
      </w:divBdr>
    </w:div>
    <w:div w:id="1443694326">
      <w:bodyDiv w:val="1"/>
      <w:marLeft w:val="0"/>
      <w:marRight w:val="0"/>
      <w:marTop w:val="0"/>
      <w:marBottom w:val="0"/>
      <w:divBdr>
        <w:top w:val="none" w:sz="0" w:space="0" w:color="auto"/>
        <w:left w:val="none" w:sz="0" w:space="0" w:color="auto"/>
        <w:bottom w:val="none" w:sz="0" w:space="0" w:color="auto"/>
        <w:right w:val="none" w:sz="0" w:space="0" w:color="auto"/>
      </w:divBdr>
    </w:div>
    <w:div w:id="1444303937">
      <w:bodyDiv w:val="1"/>
      <w:marLeft w:val="0"/>
      <w:marRight w:val="0"/>
      <w:marTop w:val="0"/>
      <w:marBottom w:val="0"/>
      <w:divBdr>
        <w:top w:val="none" w:sz="0" w:space="0" w:color="auto"/>
        <w:left w:val="none" w:sz="0" w:space="0" w:color="auto"/>
        <w:bottom w:val="none" w:sz="0" w:space="0" w:color="auto"/>
        <w:right w:val="none" w:sz="0" w:space="0" w:color="auto"/>
      </w:divBdr>
    </w:div>
    <w:div w:id="1469055877">
      <w:bodyDiv w:val="1"/>
      <w:marLeft w:val="0"/>
      <w:marRight w:val="0"/>
      <w:marTop w:val="0"/>
      <w:marBottom w:val="0"/>
      <w:divBdr>
        <w:top w:val="none" w:sz="0" w:space="0" w:color="auto"/>
        <w:left w:val="none" w:sz="0" w:space="0" w:color="auto"/>
        <w:bottom w:val="none" w:sz="0" w:space="0" w:color="auto"/>
        <w:right w:val="none" w:sz="0" w:space="0" w:color="auto"/>
      </w:divBdr>
      <w:divsChild>
        <w:div w:id="498891330">
          <w:marLeft w:val="1166"/>
          <w:marRight w:val="0"/>
          <w:marTop w:val="86"/>
          <w:marBottom w:val="0"/>
          <w:divBdr>
            <w:top w:val="none" w:sz="0" w:space="0" w:color="auto"/>
            <w:left w:val="none" w:sz="0" w:space="0" w:color="auto"/>
            <w:bottom w:val="none" w:sz="0" w:space="0" w:color="auto"/>
            <w:right w:val="none" w:sz="0" w:space="0" w:color="auto"/>
          </w:divBdr>
        </w:div>
        <w:div w:id="1085223113">
          <w:marLeft w:val="1166"/>
          <w:marRight w:val="0"/>
          <w:marTop w:val="86"/>
          <w:marBottom w:val="0"/>
          <w:divBdr>
            <w:top w:val="none" w:sz="0" w:space="0" w:color="auto"/>
            <w:left w:val="none" w:sz="0" w:space="0" w:color="auto"/>
            <w:bottom w:val="none" w:sz="0" w:space="0" w:color="auto"/>
            <w:right w:val="none" w:sz="0" w:space="0" w:color="auto"/>
          </w:divBdr>
        </w:div>
        <w:div w:id="1161039644">
          <w:marLeft w:val="1166"/>
          <w:marRight w:val="0"/>
          <w:marTop w:val="86"/>
          <w:marBottom w:val="0"/>
          <w:divBdr>
            <w:top w:val="none" w:sz="0" w:space="0" w:color="auto"/>
            <w:left w:val="none" w:sz="0" w:space="0" w:color="auto"/>
            <w:bottom w:val="none" w:sz="0" w:space="0" w:color="auto"/>
            <w:right w:val="none" w:sz="0" w:space="0" w:color="auto"/>
          </w:divBdr>
        </w:div>
      </w:divsChild>
    </w:div>
    <w:div w:id="1476794780">
      <w:bodyDiv w:val="1"/>
      <w:marLeft w:val="0"/>
      <w:marRight w:val="0"/>
      <w:marTop w:val="0"/>
      <w:marBottom w:val="0"/>
      <w:divBdr>
        <w:top w:val="none" w:sz="0" w:space="0" w:color="auto"/>
        <w:left w:val="none" w:sz="0" w:space="0" w:color="auto"/>
        <w:bottom w:val="none" w:sz="0" w:space="0" w:color="auto"/>
        <w:right w:val="none" w:sz="0" w:space="0" w:color="auto"/>
      </w:divBdr>
    </w:div>
    <w:div w:id="1518038747">
      <w:bodyDiv w:val="1"/>
      <w:marLeft w:val="0"/>
      <w:marRight w:val="0"/>
      <w:marTop w:val="0"/>
      <w:marBottom w:val="0"/>
      <w:divBdr>
        <w:top w:val="none" w:sz="0" w:space="0" w:color="auto"/>
        <w:left w:val="none" w:sz="0" w:space="0" w:color="auto"/>
        <w:bottom w:val="none" w:sz="0" w:space="0" w:color="auto"/>
        <w:right w:val="none" w:sz="0" w:space="0" w:color="auto"/>
      </w:divBdr>
    </w:div>
    <w:div w:id="1525631917">
      <w:bodyDiv w:val="1"/>
      <w:marLeft w:val="0"/>
      <w:marRight w:val="0"/>
      <w:marTop w:val="0"/>
      <w:marBottom w:val="0"/>
      <w:divBdr>
        <w:top w:val="none" w:sz="0" w:space="0" w:color="auto"/>
        <w:left w:val="none" w:sz="0" w:space="0" w:color="auto"/>
        <w:bottom w:val="none" w:sz="0" w:space="0" w:color="auto"/>
        <w:right w:val="none" w:sz="0" w:space="0" w:color="auto"/>
      </w:divBdr>
    </w:div>
    <w:div w:id="1527602208">
      <w:bodyDiv w:val="1"/>
      <w:marLeft w:val="0"/>
      <w:marRight w:val="0"/>
      <w:marTop w:val="0"/>
      <w:marBottom w:val="0"/>
      <w:divBdr>
        <w:top w:val="none" w:sz="0" w:space="0" w:color="auto"/>
        <w:left w:val="none" w:sz="0" w:space="0" w:color="auto"/>
        <w:bottom w:val="none" w:sz="0" w:space="0" w:color="auto"/>
        <w:right w:val="none" w:sz="0" w:space="0" w:color="auto"/>
      </w:divBdr>
      <w:divsChild>
        <w:div w:id="754205244">
          <w:marLeft w:val="1354"/>
          <w:marRight w:val="0"/>
          <w:marTop w:val="0"/>
          <w:marBottom w:val="0"/>
          <w:divBdr>
            <w:top w:val="none" w:sz="0" w:space="0" w:color="auto"/>
            <w:left w:val="none" w:sz="0" w:space="0" w:color="auto"/>
            <w:bottom w:val="none" w:sz="0" w:space="0" w:color="auto"/>
            <w:right w:val="none" w:sz="0" w:space="0" w:color="auto"/>
          </w:divBdr>
        </w:div>
        <w:div w:id="1062755327">
          <w:marLeft w:val="1354"/>
          <w:marRight w:val="0"/>
          <w:marTop w:val="0"/>
          <w:marBottom w:val="0"/>
          <w:divBdr>
            <w:top w:val="none" w:sz="0" w:space="0" w:color="auto"/>
            <w:left w:val="none" w:sz="0" w:space="0" w:color="auto"/>
            <w:bottom w:val="none" w:sz="0" w:space="0" w:color="auto"/>
            <w:right w:val="none" w:sz="0" w:space="0" w:color="auto"/>
          </w:divBdr>
        </w:div>
        <w:div w:id="2136214804">
          <w:marLeft w:val="1354"/>
          <w:marRight w:val="0"/>
          <w:marTop w:val="0"/>
          <w:marBottom w:val="0"/>
          <w:divBdr>
            <w:top w:val="none" w:sz="0" w:space="0" w:color="auto"/>
            <w:left w:val="none" w:sz="0" w:space="0" w:color="auto"/>
            <w:bottom w:val="none" w:sz="0" w:space="0" w:color="auto"/>
            <w:right w:val="none" w:sz="0" w:space="0" w:color="auto"/>
          </w:divBdr>
        </w:div>
      </w:divsChild>
    </w:div>
    <w:div w:id="1551333749">
      <w:bodyDiv w:val="1"/>
      <w:marLeft w:val="0"/>
      <w:marRight w:val="0"/>
      <w:marTop w:val="0"/>
      <w:marBottom w:val="0"/>
      <w:divBdr>
        <w:top w:val="none" w:sz="0" w:space="0" w:color="auto"/>
        <w:left w:val="none" w:sz="0" w:space="0" w:color="auto"/>
        <w:bottom w:val="none" w:sz="0" w:space="0" w:color="auto"/>
        <w:right w:val="none" w:sz="0" w:space="0" w:color="auto"/>
      </w:divBdr>
    </w:div>
    <w:div w:id="1566911083">
      <w:bodyDiv w:val="1"/>
      <w:marLeft w:val="0"/>
      <w:marRight w:val="0"/>
      <w:marTop w:val="0"/>
      <w:marBottom w:val="0"/>
      <w:divBdr>
        <w:top w:val="none" w:sz="0" w:space="0" w:color="auto"/>
        <w:left w:val="none" w:sz="0" w:space="0" w:color="auto"/>
        <w:bottom w:val="none" w:sz="0" w:space="0" w:color="auto"/>
        <w:right w:val="none" w:sz="0" w:space="0" w:color="auto"/>
      </w:divBdr>
    </w:div>
    <w:div w:id="1579637462">
      <w:bodyDiv w:val="1"/>
      <w:marLeft w:val="0"/>
      <w:marRight w:val="0"/>
      <w:marTop w:val="0"/>
      <w:marBottom w:val="0"/>
      <w:divBdr>
        <w:top w:val="none" w:sz="0" w:space="0" w:color="auto"/>
        <w:left w:val="none" w:sz="0" w:space="0" w:color="auto"/>
        <w:bottom w:val="none" w:sz="0" w:space="0" w:color="auto"/>
        <w:right w:val="none" w:sz="0" w:space="0" w:color="auto"/>
      </w:divBdr>
    </w:div>
    <w:div w:id="1583762224">
      <w:bodyDiv w:val="1"/>
      <w:marLeft w:val="0"/>
      <w:marRight w:val="0"/>
      <w:marTop w:val="0"/>
      <w:marBottom w:val="0"/>
      <w:divBdr>
        <w:top w:val="none" w:sz="0" w:space="0" w:color="auto"/>
        <w:left w:val="none" w:sz="0" w:space="0" w:color="auto"/>
        <w:bottom w:val="none" w:sz="0" w:space="0" w:color="auto"/>
        <w:right w:val="none" w:sz="0" w:space="0" w:color="auto"/>
      </w:divBdr>
    </w:div>
    <w:div w:id="1600217203">
      <w:bodyDiv w:val="1"/>
      <w:marLeft w:val="0"/>
      <w:marRight w:val="0"/>
      <w:marTop w:val="0"/>
      <w:marBottom w:val="0"/>
      <w:divBdr>
        <w:top w:val="none" w:sz="0" w:space="0" w:color="auto"/>
        <w:left w:val="none" w:sz="0" w:space="0" w:color="auto"/>
        <w:bottom w:val="none" w:sz="0" w:space="0" w:color="auto"/>
        <w:right w:val="none" w:sz="0" w:space="0" w:color="auto"/>
      </w:divBdr>
    </w:div>
    <w:div w:id="1609922314">
      <w:bodyDiv w:val="1"/>
      <w:marLeft w:val="0"/>
      <w:marRight w:val="0"/>
      <w:marTop w:val="0"/>
      <w:marBottom w:val="0"/>
      <w:divBdr>
        <w:top w:val="none" w:sz="0" w:space="0" w:color="auto"/>
        <w:left w:val="none" w:sz="0" w:space="0" w:color="auto"/>
        <w:bottom w:val="none" w:sz="0" w:space="0" w:color="auto"/>
        <w:right w:val="none" w:sz="0" w:space="0" w:color="auto"/>
      </w:divBdr>
    </w:div>
    <w:div w:id="1627390674">
      <w:bodyDiv w:val="1"/>
      <w:marLeft w:val="0"/>
      <w:marRight w:val="0"/>
      <w:marTop w:val="0"/>
      <w:marBottom w:val="0"/>
      <w:divBdr>
        <w:top w:val="none" w:sz="0" w:space="0" w:color="auto"/>
        <w:left w:val="none" w:sz="0" w:space="0" w:color="auto"/>
        <w:bottom w:val="none" w:sz="0" w:space="0" w:color="auto"/>
        <w:right w:val="none" w:sz="0" w:space="0" w:color="auto"/>
      </w:divBdr>
    </w:div>
    <w:div w:id="1676033608">
      <w:bodyDiv w:val="1"/>
      <w:marLeft w:val="0"/>
      <w:marRight w:val="0"/>
      <w:marTop w:val="0"/>
      <w:marBottom w:val="0"/>
      <w:divBdr>
        <w:top w:val="none" w:sz="0" w:space="0" w:color="auto"/>
        <w:left w:val="none" w:sz="0" w:space="0" w:color="auto"/>
        <w:bottom w:val="none" w:sz="0" w:space="0" w:color="auto"/>
        <w:right w:val="none" w:sz="0" w:space="0" w:color="auto"/>
      </w:divBdr>
    </w:div>
    <w:div w:id="1680310227">
      <w:bodyDiv w:val="1"/>
      <w:marLeft w:val="0"/>
      <w:marRight w:val="0"/>
      <w:marTop w:val="0"/>
      <w:marBottom w:val="0"/>
      <w:divBdr>
        <w:top w:val="none" w:sz="0" w:space="0" w:color="auto"/>
        <w:left w:val="none" w:sz="0" w:space="0" w:color="auto"/>
        <w:bottom w:val="none" w:sz="0" w:space="0" w:color="auto"/>
        <w:right w:val="none" w:sz="0" w:space="0" w:color="auto"/>
      </w:divBdr>
    </w:div>
    <w:div w:id="1687750697">
      <w:bodyDiv w:val="1"/>
      <w:marLeft w:val="0"/>
      <w:marRight w:val="0"/>
      <w:marTop w:val="0"/>
      <w:marBottom w:val="0"/>
      <w:divBdr>
        <w:top w:val="none" w:sz="0" w:space="0" w:color="auto"/>
        <w:left w:val="none" w:sz="0" w:space="0" w:color="auto"/>
        <w:bottom w:val="none" w:sz="0" w:space="0" w:color="auto"/>
        <w:right w:val="none" w:sz="0" w:space="0" w:color="auto"/>
      </w:divBdr>
    </w:div>
    <w:div w:id="1703556687">
      <w:bodyDiv w:val="1"/>
      <w:marLeft w:val="0"/>
      <w:marRight w:val="0"/>
      <w:marTop w:val="0"/>
      <w:marBottom w:val="0"/>
      <w:divBdr>
        <w:top w:val="none" w:sz="0" w:space="0" w:color="auto"/>
        <w:left w:val="none" w:sz="0" w:space="0" w:color="auto"/>
        <w:bottom w:val="none" w:sz="0" w:space="0" w:color="auto"/>
        <w:right w:val="none" w:sz="0" w:space="0" w:color="auto"/>
      </w:divBdr>
    </w:div>
    <w:div w:id="1710908664">
      <w:bodyDiv w:val="1"/>
      <w:marLeft w:val="0"/>
      <w:marRight w:val="0"/>
      <w:marTop w:val="0"/>
      <w:marBottom w:val="0"/>
      <w:divBdr>
        <w:top w:val="none" w:sz="0" w:space="0" w:color="auto"/>
        <w:left w:val="none" w:sz="0" w:space="0" w:color="auto"/>
        <w:bottom w:val="none" w:sz="0" w:space="0" w:color="auto"/>
        <w:right w:val="none" w:sz="0" w:space="0" w:color="auto"/>
      </w:divBdr>
    </w:div>
    <w:div w:id="1715500745">
      <w:bodyDiv w:val="1"/>
      <w:marLeft w:val="0"/>
      <w:marRight w:val="0"/>
      <w:marTop w:val="0"/>
      <w:marBottom w:val="0"/>
      <w:divBdr>
        <w:top w:val="none" w:sz="0" w:space="0" w:color="auto"/>
        <w:left w:val="none" w:sz="0" w:space="0" w:color="auto"/>
        <w:bottom w:val="none" w:sz="0" w:space="0" w:color="auto"/>
        <w:right w:val="none" w:sz="0" w:space="0" w:color="auto"/>
      </w:divBdr>
    </w:div>
    <w:div w:id="1723628119">
      <w:bodyDiv w:val="1"/>
      <w:marLeft w:val="0"/>
      <w:marRight w:val="0"/>
      <w:marTop w:val="0"/>
      <w:marBottom w:val="0"/>
      <w:divBdr>
        <w:top w:val="none" w:sz="0" w:space="0" w:color="auto"/>
        <w:left w:val="none" w:sz="0" w:space="0" w:color="auto"/>
        <w:bottom w:val="none" w:sz="0" w:space="0" w:color="auto"/>
        <w:right w:val="none" w:sz="0" w:space="0" w:color="auto"/>
      </w:divBdr>
    </w:div>
    <w:div w:id="1744059883">
      <w:bodyDiv w:val="1"/>
      <w:marLeft w:val="0"/>
      <w:marRight w:val="0"/>
      <w:marTop w:val="0"/>
      <w:marBottom w:val="0"/>
      <w:divBdr>
        <w:top w:val="none" w:sz="0" w:space="0" w:color="auto"/>
        <w:left w:val="none" w:sz="0" w:space="0" w:color="auto"/>
        <w:bottom w:val="none" w:sz="0" w:space="0" w:color="auto"/>
        <w:right w:val="none" w:sz="0" w:space="0" w:color="auto"/>
      </w:divBdr>
    </w:div>
    <w:div w:id="1753963143">
      <w:bodyDiv w:val="1"/>
      <w:marLeft w:val="0"/>
      <w:marRight w:val="0"/>
      <w:marTop w:val="0"/>
      <w:marBottom w:val="0"/>
      <w:divBdr>
        <w:top w:val="none" w:sz="0" w:space="0" w:color="auto"/>
        <w:left w:val="none" w:sz="0" w:space="0" w:color="auto"/>
        <w:bottom w:val="none" w:sz="0" w:space="0" w:color="auto"/>
        <w:right w:val="none" w:sz="0" w:space="0" w:color="auto"/>
      </w:divBdr>
      <w:divsChild>
        <w:div w:id="87387928">
          <w:marLeft w:val="1166"/>
          <w:marRight w:val="0"/>
          <w:marTop w:val="77"/>
          <w:marBottom w:val="0"/>
          <w:divBdr>
            <w:top w:val="none" w:sz="0" w:space="0" w:color="auto"/>
            <w:left w:val="none" w:sz="0" w:space="0" w:color="auto"/>
            <w:bottom w:val="none" w:sz="0" w:space="0" w:color="auto"/>
            <w:right w:val="none" w:sz="0" w:space="0" w:color="auto"/>
          </w:divBdr>
        </w:div>
        <w:div w:id="170026213">
          <w:marLeft w:val="1166"/>
          <w:marRight w:val="0"/>
          <w:marTop w:val="77"/>
          <w:marBottom w:val="0"/>
          <w:divBdr>
            <w:top w:val="none" w:sz="0" w:space="0" w:color="auto"/>
            <w:left w:val="none" w:sz="0" w:space="0" w:color="auto"/>
            <w:bottom w:val="none" w:sz="0" w:space="0" w:color="auto"/>
            <w:right w:val="none" w:sz="0" w:space="0" w:color="auto"/>
          </w:divBdr>
        </w:div>
        <w:div w:id="215437614">
          <w:marLeft w:val="1166"/>
          <w:marRight w:val="0"/>
          <w:marTop w:val="77"/>
          <w:marBottom w:val="0"/>
          <w:divBdr>
            <w:top w:val="none" w:sz="0" w:space="0" w:color="auto"/>
            <w:left w:val="none" w:sz="0" w:space="0" w:color="auto"/>
            <w:bottom w:val="none" w:sz="0" w:space="0" w:color="auto"/>
            <w:right w:val="none" w:sz="0" w:space="0" w:color="auto"/>
          </w:divBdr>
        </w:div>
        <w:div w:id="378433320">
          <w:marLeft w:val="1166"/>
          <w:marRight w:val="0"/>
          <w:marTop w:val="77"/>
          <w:marBottom w:val="0"/>
          <w:divBdr>
            <w:top w:val="none" w:sz="0" w:space="0" w:color="auto"/>
            <w:left w:val="none" w:sz="0" w:space="0" w:color="auto"/>
            <w:bottom w:val="none" w:sz="0" w:space="0" w:color="auto"/>
            <w:right w:val="none" w:sz="0" w:space="0" w:color="auto"/>
          </w:divBdr>
        </w:div>
        <w:div w:id="612593133">
          <w:marLeft w:val="1166"/>
          <w:marRight w:val="0"/>
          <w:marTop w:val="77"/>
          <w:marBottom w:val="0"/>
          <w:divBdr>
            <w:top w:val="none" w:sz="0" w:space="0" w:color="auto"/>
            <w:left w:val="none" w:sz="0" w:space="0" w:color="auto"/>
            <w:bottom w:val="none" w:sz="0" w:space="0" w:color="auto"/>
            <w:right w:val="none" w:sz="0" w:space="0" w:color="auto"/>
          </w:divBdr>
        </w:div>
        <w:div w:id="635718097">
          <w:marLeft w:val="1166"/>
          <w:marRight w:val="0"/>
          <w:marTop w:val="77"/>
          <w:marBottom w:val="0"/>
          <w:divBdr>
            <w:top w:val="none" w:sz="0" w:space="0" w:color="auto"/>
            <w:left w:val="none" w:sz="0" w:space="0" w:color="auto"/>
            <w:bottom w:val="none" w:sz="0" w:space="0" w:color="auto"/>
            <w:right w:val="none" w:sz="0" w:space="0" w:color="auto"/>
          </w:divBdr>
        </w:div>
        <w:div w:id="850873078">
          <w:marLeft w:val="1166"/>
          <w:marRight w:val="0"/>
          <w:marTop w:val="77"/>
          <w:marBottom w:val="0"/>
          <w:divBdr>
            <w:top w:val="none" w:sz="0" w:space="0" w:color="auto"/>
            <w:left w:val="none" w:sz="0" w:space="0" w:color="auto"/>
            <w:bottom w:val="none" w:sz="0" w:space="0" w:color="auto"/>
            <w:right w:val="none" w:sz="0" w:space="0" w:color="auto"/>
          </w:divBdr>
        </w:div>
        <w:div w:id="1060247892">
          <w:marLeft w:val="1166"/>
          <w:marRight w:val="0"/>
          <w:marTop w:val="77"/>
          <w:marBottom w:val="0"/>
          <w:divBdr>
            <w:top w:val="none" w:sz="0" w:space="0" w:color="auto"/>
            <w:left w:val="none" w:sz="0" w:space="0" w:color="auto"/>
            <w:bottom w:val="none" w:sz="0" w:space="0" w:color="auto"/>
            <w:right w:val="none" w:sz="0" w:space="0" w:color="auto"/>
          </w:divBdr>
        </w:div>
        <w:div w:id="1131942130">
          <w:marLeft w:val="1166"/>
          <w:marRight w:val="0"/>
          <w:marTop w:val="77"/>
          <w:marBottom w:val="0"/>
          <w:divBdr>
            <w:top w:val="none" w:sz="0" w:space="0" w:color="auto"/>
            <w:left w:val="none" w:sz="0" w:space="0" w:color="auto"/>
            <w:bottom w:val="none" w:sz="0" w:space="0" w:color="auto"/>
            <w:right w:val="none" w:sz="0" w:space="0" w:color="auto"/>
          </w:divBdr>
        </w:div>
        <w:div w:id="1260792659">
          <w:marLeft w:val="1166"/>
          <w:marRight w:val="0"/>
          <w:marTop w:val="77"/>
          <w:marBottom w:val="0"/>
          <w:divBdr>
            <w:top w:val="none" w:sz="0" w:space="0" w:color="auto"/>
            <w:left w:val="none" w:sz="0" w:space="0" w:color="auto"/>
            <w:bottom w:val="none" w:sz="0" w:space="0" w:color="auto"/>
            <w:right w:val="none" w:sz="0" w:space="0" w:color="auto"/>
          </w:divBdr>
        </w:div>
        <w:div w:id="1623733803">
          <w:marLeft w:val="1166"/>
          <w:marRight w:val="0"/>
          <w:marTop w:val="77"/>
          <w:marBottom w:val="0"/>
          <w:divBdr>
            <w:top w:val="none" w:sz="0" w:space="0" w:color="auto"/>
            <w:left w:val="none" w:sz="0" w:space="0" w:color="auto"/>
            <w:bottom w:val="none" w:sz="0" w:space="0" w:color="auto"/>
            <w:right w:val="none" w:sz="0" w:space="0" w:color="auto"/>
          </w:divBdr>
        </w:div>
      </w:divsChild>
    </w:div>
    <w:div w:id="1768429489">
      <w:bodyDiv w:val="1"/>
      <w:marLeft w:val="0"/>
      <w:marRight w:val="0"/>
      <w:marTop w:val="0"/>
      <w:marBottom w:val="0"/>
      <w:divBdr>
        <w:top w:val="none" w:sz="0" w:space="0" w:color="auto"/>
        <w:left w:val="none" w:sz="0" w:space="0" w:color="auto"/>
        <w:bottom w:val="none" w:sz="0" w:space="0" w:color="auto"/>
        <w:right w:val="none" w:sz="0" w:space="0" w:color="auto"/>
      </w:divBdr>
    </w:div>
    <w:div w:id="1768961883">
      <w:bodyDiv w:val="1"/>
      <w:marLeft w:val="0"/>
      <w:marRight w:val="0"/>
      <w:marTop w:val="0"/>
      <w:marBottom w:val="0"/>
      <w:divBdr>
        <w:top w:val="none" w:sz="0" w:space="0" w:color="auto"/>
        <w:left w:val="none" w:sz="0" w:space="0" w:color="auto"/>
        <w:bottom w:val="none" w:sz="0" w:space="0" w:color="auto"/>
        <w:right w:val="none" w:sz="0" w:space="0" w:color="auto"/>
      </w:divBdr>
    </w:div>
    <w:div w:id="1779105897">
      <w:bodyDiv w:val="1"/>
      <w:marLeft w:val="0"/>
      <w:marRight w:val="0"/>
      <w:marTop w:val="0"/>
      <w:marBottom w:val="0"/>
      <w:divBdr>
        <w:top w:val="none" w:sz="0" w:space="0" w:color="auto"/>
        <w:left w:val="none" w:sz="0" w:space="0" w:color="auto"/>
        <w:bottom w:val="none" w:sz="0" w:space="0" w:color="auto"/>
        <w:right w:val="none" w:sz="0" w:space="0" w:color="auto"/>
      </w:divBdr>
    </w:div>
    <w:div w:id="1810050161">
      <w:bodyDiv w:val="1"/>
      <w:marLeft w:val="0"/>
      <w:marRight w:val="0"/>
      <w:marTop w:val="0"/>
      <w:marBottom w:val="0"/>
      <w:divBdr>
        <w:top w:val="none" w:sz="0" w:space="0" w:color="auto"/>
        <w:left w:val="none" w:sz="0" w:space="0" w:color="auto"/>
        <w:bottom w:val="none" w:sz="0" w:space="0" w:color="auto"/>
        <w:right w:val="none" w:sz="0" w:space="0" w:color="auto"/>
      </w:divBdr>
    </w:div>
    <w:div w:id="1833373605">
      <w:bodyDiv w:val="1"/>
      <w:marLeft w:val="0"/>
      <w:marRight w:val="0"/>
      <w:marTop w:val="0"/>
      <w:marBottom w:val="0"/>
      <w:divBdr>
        <w:top w:val="none" w:sz="0" w:space="0" w:color="auto"/>
        <w:left w:val="none" w:sz="0" w:space="0" w:color="auto"/>
        <w:bottom w:val="none" w:sz="0" w:space="0" w:color="auto"/>
        <w:right w:val="none" w:sz="0" w:space="0" w:color="auto"/>
      </w:divBdr>
    </w:div>
    <w:div w:id="1840539716">
      <w:bodyDiv w:val="1"/>
      <w:marLeft w:val="0"/>
      <w:marRight w:val="0"/>
      <w:marTop w:val="0"/>
      <w:marBottom w:val="0"/>
      <w:divBdr>
        <w:top w:val="none" w:sz="0" w:space="0" w:color="auto"/>
        <w:left w:val="none" w:sz="0" w:space="0" w:color="auto"/>
        <w:bottom w:val="none" w:sz="0" w:space="0" w:color="auto"/>
        <w:right w:val="none" w:sz="0" w:space="0" w:color="auto"/>
      </w:divBdr>
    </w:div>
    <w:div w:id="1888446026">
      <w:bodyDiv w:val="1"/>
      <w:marLeft w:val="0"/>
      <w:marRight w:val="0"/>
      <w:marTop w:val="0"/>
      <w:marBottom w:val="0"/>
      <w:divBdr>
        <w:top w:val="none" w:sz="0" w:space="0" w:color="auto"/>
        <w:left w:val="none" w:sz="0" w:space="0" w:color="auto"/>
        <w:bottom w:val="none" w:sz="0" w:space="0" w:color="auto"/>
        <w:right w:val="none" w:sz="0" w:space="0" w:color="auto"/>
      </w:divBdr>
    </w:div>
    <w:div w:id="1903176888">
      <w:bodyDiv w:val="1"/>
      <w:marLeft w:val="0"/>
      <w:marRight w:val="0"/>
      <w:marTop w:val="0"/>
      <w:marBottom w:val="0"/>
      <w:divBdr>
        <w:top w:val="none" w:sz="0" w:space="0" w:color="auto"/>
        <w:left w:val="none" w:sz="0" w:space="0" w:color="auto"/>
        <w:bottom w:val="none" w:sz="0" w:space="0" w:color="auto"/>
        <w:right w:val="none" w:sz="0" w:space="0" w:color="auto"/>
      </w:divBdr>
    </w:div>
    <w:div w:id="1904681849">
      <w:bodyDiv w:val="1"/>
      <w:marLeft w:val="0"/>
      <w:marRight w:val="0"/>
      <w:marTop w:val="0"/>
      <w:marBottom w:val="0"/>
      <w:divBdr>
        <w:top w:val="none" w:sz="0" w:space="0" w:color="auto"/>
        <w:left w:val="none" w:sz="0" w:space="0" w:color="auto"/>
        <w:bottom w:val="none" w:sz="0" w:space="0" w:color="auto"/>
        <w:right w:val="none" w:sz="0" w:space="0" w:color="auto"/>
      </w:divBdr>
    </w:div>
    <w:div w:id="1913080021">
      <w:bodyDiv w:val="1"/>
      <w:marLeft w:val="0"/>
      <w:marRight w:val="0"/>
      <w:marTop w:val="0"/>
      <w:marBottom w:val="0"/>
      <w:divBdr>
        <w:top w:val="none" w:sz="0" w:space="0" w:color="auto"/>
        <w:left w:val="none" w:sz="0" w:space="0" w:color="auto"/>
        <w:bottom w:val="none" w:sz="0" w:space="0" w:color="auto"/>
        <w:right w:val="none" w:sz="0" w:space="0" w:color="auto"/>
      </w:divBdr>
      <w:divsChild>
        <w:div w:id="420227037">
          <w:marLeft w:val="1166"/>
          <w:marRight w:val="0"/>
          <w:marTop w:val="77"/>
          <w:marBottom w:val="0"/>
          <w:divBdr>
            <w:top w:val="none" w:sz="0" w:space="0" w:color="auto"/>
            <w:left w:val="none" w:sz="0" w:space="0" w:color="auto"/>
            <w:bottom w:val="none" w:sz="0" w:space="0" w:color="auto"/>
            <w:right w:val="none" w:sz="0" w:space="0" w:color="auto"/>
          </w:divBdr>
        </w:div>
        <w:div w:id="570194654">
          <w:marLeft w:val="1166"/>
          <w:marRight w:val="0"/>
          <w:marTop w:val="77"/>
          <w:marBottom w:val="0"/>
          <w:divBdr>
            <w:top w:val="none" w:sz="0" w:space="0" w:color="auto"/>
            <w:left w:val="none" w:sz="0" w:space="0" w:color="auto"/>
            <w:bottom w:val="none" w:sz="0" w:space="0" w:color="auto"/>
            <w:right w:val="none" w:sz="0" w:space="0" w:color="auto"/>
          </w:divBdr>
        </w:div>
        <w:div w:id="678779579">
          <w:marLeft w:val="547"/>
          <w:marRight w:val="0"/>
          <w:marTop w:val="96"/>
          <w:marBottom w:val="0"/>
          <w:divBdr>
            <w:top w:val="none" w:sz="0" w:space="0" w:color="auto"/>
            <w:left w:val="none" w:sz="0" w:space="0" w:color="auto"/>
            <w:bottom w:val="none" w:sz="0" w:space="0" w:color="auto"/>
            <w:right w:val="none" w:sz="0" w:space="0" w:color="auto"/>
          </w:divBdr>
        </w:div>
        <w:div w:id="1053965572">
          <w:marLeft w:val="1166"/>
          <w:marRight w:val="0"/>
          <w:marTop w:val="77"/>
          <w:marBottom w:val="0"/>
          <w:divBdr>
            <w:top w:val="none" w:sz="0" w:space="0" w:color="auto"/>
            <w:left w:val="none" w:sz="0" w:space="0" w:color="auto"/>
            <w:bottom w:val="none" w:sz="0" w:space="0" w:color="auto"/>
            <w:right w:val="none" w:sz="0" w:space="0" w:color="auto"/>
          </w:divBdr>
        </w:div>
        <w:div w:id="1145781927">
          <w:marLeft w:val="547"/>
          <w:marRight w:val="0"/>
          <w:marTop w:val="96"/>
          <w:marBottom w:val="0"/>
          <w:divBdr>
            <w:top w:val="none" w:sz="0" w:space="0" w:color="auto"/>
            <w:left w:val="none" w:sz="0" w:space="0" w:color="auto"/>
            <w:bottom w:val="none" w:sz="0" w:space="0" w:color="auto"/>
            <w:right w:val="none" w:sz="0" w:space="0" w:color="auto"/>
          </w:divBdr>
        </w:div>
        <w:div w:id="1256668881">
          <w:marLeft w:val="1166"/>
          <w:marRight w:val="0"/>
          <w:marTop w:val="77"/>
          <w:marBottom w:val="0"/>
          <w:divBdr>
            <w:top w:val="none" w:sz="0" w:space="0" w:color="auto"/>
            <w:left w:val="none" w:sz="0" w:space="0" w:color="auto"/>
            <w:bottom w:val="none" w:sz="0" w:space="0" w:color="auto"/>
            <w:right w:val="none" w:sz="0" w:space="0" w:color="auto"/>
          </w:divBdr>
        </w:div>
        <w:div w:id="1349259091">
          <w:marLeft w:val="1166"/>
          <w:marRight w:val="0"/>
          <w:marTop w:val="77"/>
          <w:marBottom w:val="0"/>
          <w:divBdr>
            <w:top w:val="none" w:sz="0" w:space="0" w:color="auto"/>
            <w:left w:val="none" w:sz="0" w:space="0" w:color="auto"/>
            <w:bottom w:val="none" w:sz="0" w:space="0" w:color="auto"/>
            <w:right w:val="none" w:sz="0" w:space="0" w:color="auto"/>
          </w:divBdr>
        </w:div>
        <w:div w:id="1396053146">
          <w:marLeft w:val="1166"/>
          <w:marRight w:val="0"/>
          <w:marTop w:val="77"/>
          <w:marBottom w:val="0"/>
          <w:divBdr>
            <w:top w:val="none" w:sz="0" w:space="0" w:color="auto"/>
            <w:left w:val="none" w:sz="0" w:space="0" w:color="auto"/>
            <w:bottom w:val="none" w:sz="0" w:space="0" w:color="auto"/>
            <w:right w:val="none" w:sz="0" w:space="0" w:color="auto"/>
          </w:divBdr>
        </w:div>
        <w:div w:id="1809739171">
          <w:marLeft w:val="1166"/>
          <w:marRight w:val="0"/>
          <w:marTop w:val="77"/>
          <w:marBottom w:val="0"/>
          <w:divBdr>
            <w:top w:val="none" w:sz="0" w:space="0" w:color="auto"/>
            <w:left w:val="none" w:sz="0" w:space="0" w:color="auto"/>
            <w:bottom w:val="none" w:sz="0" w:space="0" w:color="auto"/>
            <w:right w:val="none" w:sz="0" w:space="0" w:color="auto"/>
          </w:divBdr>
        </w:div>
        <w:div w:id="1862813335">
          <w:marLeft w:val="1166"/>
          <w:marRight w:val="0"/>
          <w:marTop w:val="77"/>
          <w:marBottom w:val="0"/>
          <w:divBdr>
            <w:top w:val="none" w:sz="0" w:space="0" w:color="auto"/>
            <w:left w:val="none" w:sz="0" w:space="0" w:color="auto"/>
            <w:bottom w:val="none" w:sz="0" w:space="0" w:color="auto"/>
            <w:right w:val="none" w:sz="0" w:space="0" w:color="auto"/>
          </w:divBdr>
        </w:div>
      </w:divsChild>
    </w:div>
    <w:div w:id="1940091843">
      <w:bodyDiv w:val="1"/>
      <w:marLeft w:val="0"/>
      <w:marRight w:val="0"/>
      <w:marTop w:val="0"/>
      <w:marBottom w:val="0"/>
      <w:divBdr>
        <w:top w:val="none" w:sz="0" w:space="0" w:color="auto"/>
        <w:left w:val="none" w:sz="0" w:space="0" w:color="auto"/>
        <w:bottom w:val="none" w:sz="0" w:space="0" w:color="auto"/>
        <w:right w:val="none" w:sz="0" w:space="0" w:color="auto"/>
      </w:divBdr>
    </w:div>
    <w:div w:id="1942030669">
      <w:bodyDiv w:val="1"/>
      <w:marLeft w:val="0"/>
      <w:marRight w:val="0"/>
      <w:marTop w:val="0"/>
      <w:marBottom w:val="0"/>
      <w:divBdr>
        <w:top w:val="none" w:sz="0" w:space="0" w:color="auto"/>
        <w:left w:val="none" w:sz="0" w:space="0" w:color="auto"/>
        <w:bottom w:val="none" w:sz="0" w:space="0" w:color="auto"/>
        <w:right w:val="none" w:sz="0" w:space="0" w:color="auto"/>
      </w:divBdr>
    </w:div>
    <w:div w:id="1947544146">
      <w:bodyDiv w:val="1"/>
      <w:marLeft w:val="0"/>
      <w:marRight w:val="0"/>
      <w:marTop w:val="0"/>
      <w:marBottom w:val="0"/>
      <w:divBdr>
        <w:top w:val="none" w:sz="0" w:space="0" w:color="auto"/>
        <w:left w:val="none" w:sz="0" w:space="0" w:color="auto"/>
        <w:bottom w:val="none" w:sz="0" w:space="0" w:color="auto"/>
        <w:right w:val="none" w:sz="0" w:space="0" w:color="auto"/>
      </w:divBdr>
    </w:div>
    <w:div w:id="1949458941">
      <w:bodyDiv w:val="1"/>
      <w:marLeft w:val="0"/>
      <w:marRight w:val="0"/>
      <w:marTop w:val="0"/>
      <w:marBottom w:val="0"/>
      <w:divBdr>
        <w:top w:val="none" w:sz="0" w:space="0" w:color="auto"/>
        <w:left w:val="none" w:sz="0" w:space="0" w:color="auto"/>
        <w:bottom w:val="none" w:sz="0" w:space="0" w:color="auto"/>
        <w:right w:val="none" w:sz="0" w:space="0" w:color="auto"/>
      </w:divBdr>
    </w:div>
    <w:div w:id="1949893436">
      <w:bodyDiv w:val="1"/>
      <w:marLeft w:val="0"/>
      <w:marRight w:val="0"/>
      <w:marTop w:val="0"/>
      <w:marBottom w:val="0"/>
      <w:divBdr>
        <w:top w:val="none" w:sz="0" w:space="0" w:color="auto"/>
        <w:left w:val="none" w:sz="0" w:space="0" w:color="auto"/>
        <w:bottom w:val="none" w:sz="0" w:space="0" w:color="auto"/>
        <w:right w:val="none" w:sz="0" w:space="0" w:color="auto"/>
      </w:divBdr>
    </w:div>
    <w:div w:id="2012220568">
      <w:bodyDiv w:val="1"/>
      <w:marLeft w:val="0"/>
      <w:marRight w:val="0"/>
      <w:marTop w:val="0"/>
      <w:marBottom w:val="0"/>
      <w:divBdr>
        <w:top w:val="none" w:sz="0" w:space="0" w:color="auto"/>
        <w:left w:val="none" w:sz="0" w:space="0" w:color="auto"/>
        <w:bottom w:val="none" w:sz="0" w:space="0" w:color="auto"/>
        <w:right w:val="none" w:sz="0" w:space="0" w:color="auto"/>
      </w:divBdr>
    </w:div>
    <w:div w:id="2013097164">
      <w:bodyDiv w:val="1"/>
      <w:marLeft w:val="0"/>
      <w:marRight w:val="0"/>
      <w:marTop w:val="0"/>
      <w:marBottom w:val="0"/>
      <w:divBdr>
        <w:top w:val="none" w:sz="0" w:space="0" w:color="auto"/>
        <w:left w:val="none" w:sz="0" w:space="0" w:color="auto"/>
        <w:bottom w:val="none" w:sz="0" w:space="0" w:color="auto"/>
        <w:right w:val="none" w:sz="0" w:space="0" w:color="auto"/>
      </w:divBdr>
    </w:div>
    <w:div w:id="2014066772">
      <w:bodyDiv w:val="1"/>
      <w:marLeft w:val="0"/>
      <w:marRight w:val="0"/>
      <w:marTop w:val="0"/>
      <w:marBottom w:val="0"/>
      <w:divBdr>
        <w:top w:val="none" w:sz="0" w:space="0" w:color="auto"/>
        <w:left w:val="none" w:sz="0" w:space="0" w:color="auto"/>
        <w:bottom w:val="none" w:sz="0" w:space="0" w:color="auto"/>
        <w:right w:val="none" w:sz="0" w:space="0" w:color="auto"/>
      </w:divBdr>
    </w:div>
    <w:div w:id="2014449251">
      <w:bodyDiv w:val="1"/>
      <w:marLeft w:val="0"/>
      <w:marRight w:val="0"/>
      <w:marTop w:val="0"/>
      <w:marBottom w:val="0"/>
      <w:divBdr>
        <w:top w:val="none" w:sz="0" w:space="0" w:color="auto"/>
        <w:left w:val="none" w:sz="0" w:space="0" w:color="auto"/>
        <w:bottom w:val="none" w:sz="0" w:space="0" w:color="auto"/>
        <w:right w:val="none" w:sz="0" w:space="0" w:color="auto"/>
      </w:divBdr>
    </w:div>
    <w:div w:id="2024474698">
      <w:bodyDiv w:val="1"/>
      <w:marLeft w:val="0"/>
      <w:marRight w:val="0"/>
      <w:marTop w:val="0"/>
      <w:marBottom w:val="0"/>
      <w:divBdr>
        <w:top w:val="none" w:sz="0" w:space="0" w:color="auto"/>
        <w:left w:val="none" w:sz="0" w:space="0" w:color="auto"/>
        <w:bottom w:val="none" w:sz="0" w:space="0" w:color="auto"/>
        <w:right w:val="none" w:sz="0" w:space="0" w:color="auto"/>
      </w:divBdr>
    </w:div>
    <w:div w:id="2031373243">
      <w:bodyDiv w:val="1"/>
      <w:marLeft w:val="0"/>
      <w:marRight w:val="0"/>
      <w:marTop w:val="0"/>
      <w:marBottom w:val="0"/>
      <w:divBdr>
        <w:top w:val="none" w:sz="0" w:space="0" w:color="auto"/>
        <w:left w:val="none" w:sz="0" w:space="0" w:color="auto"/>
        <w:bottom w:val="none" w:sz="0" w:space="0" w:color="auto"/>
        <w:right w:val="none" w:sz="0" w:space="0" w:color="auto"/>
      </w:divBdr>
    </w:div>
    <w:div w:id="2041053838">
      <w:bodyDiv w:val="1"/>
      <w:marLeft w:val="0"/>
      <w:marRight w:val="0"/>
      <w:marTop w:val="0"/>
      <w:marBottom w:val="0"/>
      <w:divBdr>
        <w:top w:val="none" w:sz="0" w:space="0" w:color="auto"/>
        <w:left w:val="none" w:sz="0" w:space="0" w:color="auto"/>
        <w:bottom w:val="none" w:sz="0" w:space="0" w:color="auto"/>
        <w:right w:val="none" w:sz="0" w:space="0" w:color="auto"/>
      </w:divBdr>
    </w:div>
    <w:div w:id="2044935074">
      <w:bodyDiv w:val="1"/>
      <w:marLeft w:val="0"/>
      <w:marRight w:val="0"/>
      <w:marTop w:val="0"/>
      <w:marBottom w:val="0"/>
      <w:divBdr>
        <w:top w:val="none" w:sz="0" w:space="0" w:color="auto"/>
        <w:left w:val="none" w:sz="0" w:space="0" w:color="auto"/>
        <w:bottom w:val="none" w:sz="0" w:space="0" w:color="auto"/>
        <w:right w:val="none" w:sz="0" w:space="0" w:color="auto"/>
      </w:divBdr>
    </w:div>
    <w:div w:id="2048022298">
      <w:bodyDiv w:val="1"/>
      <w:marLeft w:val="0"/>
      <w:marRight w:val="0"/>
      <w:marTop w:val="0"/>
      <w:marBottom w:val="0"/>
      <w:divBdr>
        <w:top w:val="none" w:sz="0" w:space="0" w:color="auto"/>
        <w:left w:val="none" w:sz="0" w:space="0" w:color="auto"/>
        <w:bottom w:val="none" w:sz="0" w:space="0" w:color="auto"/>
        <w:right w:val="none" w:sz="0" w:space="0" w:color="auto"/>
      </w:divBdr>
      <w:divsChild>
        <w:div w:id="921373319">
          <w:marLeft w:val="1166"/>
          <w:marRight w:val="0"/>
          <w:marTop w:val="86"/>
          <w:marBottom w:val="130"/>
          <w:divBdr>
            <w:top w:val="none" w:sz="0" w:space="0" w:color="auto"/>
            <w:left w:val="none" w:sz="0" w:space="0" w:color="auto"/>
            <w:bottom w:val="none" w:sz="0" w:space="0" w:color="auto"/>
            <w:right w:val="none" w:sz="0" w:space="0" w:color="auto"/>
          </w:divBdr>
        </w:div>
        <w:div w:id="975141592">
          <w:marLeft w:val="1166"/>
          <w:marRight w:val="0"/>
          <w:marTop w:val="86"/>
          <w:marBottom w:val="130"/>
          <w:divBdr>
            <w:top w:val="none" w:sz="0" w:space="0" w:color="auto"/>
            <w:left w:val="none" w:sz="0" w:space="0" w:color="auto"/>
            <w:bottom w:val="none" w:sz="0" w:space="0" w:color="auto"/>
            <w:right w:val="none" w:sz="0" w:space="0" w:color="auto"/>
          </w:divBdr>
        </w:div>
        <w:div w:id="1451783465">
          <w:marLeft w:val="1166"/>
          <w:marRight w:val="0"/>
          <w:marTop w:val="86"/>
          <w:marBottom w:val="130"/>
          <w:divBdr>
            <w:top w:val="none" w:sz="0" w:space="0" w:color="auto"/>
            <w:left w:val="none" w:sz="0" w:space="0" w:color="auto"/>
            <w:bottom w:val="none" w:sz="0" w:space="0" w:color="auto"/>
            <w:right w:val="none" w:sz="0" w:space="0" w:color="auto"/>
          </w:divBdr>
        </w:div>
        <w:div w:id="1509176492">
          <w:marLeft w:val="1166"/>
          <w:marRight w:val="0"/>
          <w:marTop w:val="86"/>
          <w:marBottom w:val="130"/>
          <w:divBdr>
            <w:top w:val="none" w:sz="0" w:space="0" w:color="auto"/>
            <w:left w:val="none" w:sz="0" w:space="0" w:color="auto"/>
            <w:bottom w:val="none" w:sz="0" w:space="0" w:color="auto"/>
            <w:right w:val="none" w:sz="0" w:space="0" w:color="auto"/>
          </w:divBdr>
        </w:div>
        <w:div w:id="1603298202">
          <w:marLeft w:val="1166"/>
          <w:marRight w:val="0"/>
          <w:marTop w:val="86"/>
          <w:marBottom w:val="130"/>
          <w:divBdr>
            <w:top w:val="none" w:sz="0" w:space="0" w:color="auto"/>
            <w:left w:val="none" w:sz="0" w:space="0" w:color="auto"/>
            <w:bottom w:val="none" w:sz="0" w:space="0" w:color="auto"/>
            <w:right w:val="none" w:sz="0" w:space="0" w:color="auto"/>
          </w:divBdr>
        </w:div>
      </w:divsChild>
    </w:div>
    <w:div w:id="2048603482">
      <w:bodyDiv w:val="1"/>
      <w:marLeft w:val="0"/>
      <w:marRight w:val="0"/>
      <w:marTop w:val="0"/>
      <w:marBottom w:val="0"/>
      <w:divBdr>
        <w:top w:val="none" w:sz="0" w:space="0" w:color="auto"/>
        <w:left w:val="none" w:sz="0" w:space="0" w:color="auto"/>
        <w:bottom w:val="none" w:sz="0" w:space="0" w:color="auto"/>
        <w:right w:val="none" w:sz="0" w:space="0" w:color="auto"/>
      </w:divBdr>
    </w:div>
    <w:div w:id="2087024658">
      <w:bodyDiv w:val="1"/>
      <w:marLeft w:val="0"/>
      <w:marRight w:val="0"/>
      <w:marTop w:val="0"/>
      <w:marBottom w:val="0"/>
      <w:divBdr>
        <w:top w:val="none" w:sz="0" w:space="0" w:color="auto"/>
        <w:left w:val="none" w:sz="0" w:space="0" w:color="auto"/>
        <w:bottom w:val="none" w:sz="0" w:space="0" w:color="auto"/>
        <w:right w:val="none" w:sz="0" w:space="0" w:color="auto"/>
      </w:divBdr>
    </w:div>
    <w:div w:id="2088333839">
      <w:bodyDiv w:val="1"/>
      <w:marLeft w:val="0"/>
      <w:marRight w:val="0"/>
      <w:marTop w:val="0"/>
      <w:marBottom w:val="0"/>
      <w:divBdr>
        <w:top w:val="none" w:sz="0" w:space="0" w:color="auto"/>
        <w:left w:val="none" w:sz="0" w:space="0" w:color="auto"/>
        <w:bottom w:val="none" w:sz="0" w:space="0" w:color="auto"/>
        <w:right w:val="none" w:sz="0" w:space="0" w:color="auto"/>
      </w:divBdr>
    </w:div>
    <w:div w:id="2100634140">
      <w:bodyDiv w:val="1"/>
      <w:marLeft w:val="0"/>
      <w:marRight w:val="0"/>
      <w:marTop w:val="0"/>
      <w:marBottom w:val="0"/>
      <w:divBdr>
        <w:top w:val="none" w:sz="0" w:space="0" w:color="auto"/>
        <w:left w:val="none" w:sz="0" w:space="0" w:color="auto"/>
        <w:bottom w:val="none" w:sz="0" w:space="0" w:color="auto"/>
        <w:right w:val="none" w:sz="0" w:space="0" w:color="auto"/>
      </w:divBdr>
    </w:div>
    <w:div w:id="2106489929">
      <w:bodyDiv w:val="1"/>
      <w:marLeft w:val="0"/>
      <w:marRight w:val="0"/>
      <w:marTop w:val="0"/>
      <w:marBottom w:val="0"/>
      <w:divBdr>
        <w:top w:val="none" w:sz="0" w:space="0" w:color="auto"/>
        <w:left w:val="none" w:sz="0" w:space="0" w:color="auto"/>
        <w:bottom w:val="none" w:sz="0" w:space="0" w:color="auto"/>
        <w:right w:val="none" w:sz="0" w:space="0" w:color="auto"/>
      </w:divBdr>
    </w:div>
    <w:div w:id="2107381048">
      <w:bodyDiv w:val="1"/>
      <w:marLeft w:val="0"/>
      <w:marRight w:val="0"/>
      <w:marTop w:val="0"/>
      <w:marBottom w:val="0"/>
      <w:divBdr>
        <w:top w:val="none" w:sz="0" w:space="0" w:color="auto"/>
        <w:left w:val="none" w:sz="0" w:space="0" w:color="auto"/>
        <w:bottom w:val="none" w:sz="0" w:space="0" w:color="auto"/>
        <w:right w:val="none" w:sz="0" w:space="0" w:color="auto"/>
      </w:divBdr>
    </w:div>
    <w:div w:id="2117171602">
      <w:bodyDiv w:val="1"/>
      <w:marLeft w:val="0"/>
      <w:marRight w:val="0"/>
      <w:marTop w:val="0"/>
      <w:marBottom w:val="0"/>
      <w:divBdr>
        <w:top w:val="none" w:sz="0" w:space="0" w:color="auto"/>
        <w:left w:val="none" w:sz="0" w:space="0" w:color="auto"/>
        <w:bottom w:val="none" w:sz="0" w:space="0" w:color="auto"/>
        <w:right w:val="none" w:sz="0" w:space="0" w:color="auto"/>
      </w:divBdr>
    </w:div>
    <w:div w:id="2122341296">
      <w:bodyDiv w:val="1"/>
      <w:marLeft w:val="0"/>
      <w:marRight w:val="0"/>
      <w:marTop w:val="0"/>
      <w:marBottom w:val="0"/>
      <w:divBdr>
        <w:top w:val="none" w:sz="0" w:space="0" w:color="auto"/>
        <w:left w:val="none" w:sz="0" w:space="0" w:color="auto"/>
        <w:bottom w:val="none" w:sz="0" w:space="0" w:color="auto"/>
        <w:right w:val="none" w:sz="0" w:space="0" w:color="auto"/>
      </w:divBdr>
    </w:div>
    <w:div w:id="21372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oleObject" Target="embeddings/oleObject1.bin"/><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image" Target="media/image6.png"/><Relationship Id="rId7" Type="http://schemas.microsoft.com/office/2007/relationships/stylesWithEffects" Target="stylesWithEffects.xml"/><Relationship Id="rId12" Type="http://schemas.openxmlformats.org/officeDocument/2006/relationships/hyperlink" Target="https://ec.europa.eu/taxation_customs/business/union-customs-code_en" TargetMode="External"/><Relationship Id="rId17" Type="http://schemas.openxmlformats.org/officeDocument/2006/relationships/image" Target="media/image4.emf"/><Relationship Id="rId25" Type="http://schemas.openxmlformats.org/officeDocument/2006/relationships/hyperlink" Target="https://ec.europa.eu/taxation_customs/business/customs-procedures/customs-decisions_en"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ec.europa.eu/taxation_customs/business/customs-procedures/customs-decisions_en"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oleObject" Target="embeddings/oleObject3.bin"/><Relationship Id="rId28" Type="http://schemas.openxmlformats.org/officeDocument/2006/relationships/image" Target="media/image9.png"/><Relationship Id="rId10" Type="http://schemas.openxmlformats.org/officeDocument/2006/relationships/footnotes" Target="footnotes.xml"/><Relationship Id="rId19" Type="http://schemas.openxmlformats.org/officeDocument/2006/relationships/image" Target="media/image5.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tsmtaxud.europa.eu/businesspublisher/login.do?login=anonymous&amp;password=anonymous" TargetMode="External"/><Relationship Id="rId22" Type="http://schemas.openxmlformats.org/officeDocument/2006/relationships/image" Target="media/image7.emf"/><Relationship Id="rId27" Type="http://schemas.openxmlformats.org/officeDocument/2006/relationships/oleObject" Target="embeddings/oleObject4.bin"/><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uwenem\Downloads\Te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able_x0020_Status xmlns="f43ce2c9-dc0e-47df-bff4-f8652d3a1b82">08. SFA</Deliverable_x0020_Status>
    <Deliverable_x0020_Version xmlns="f43ce2c9-dc0e-47df-bff4-f8652d3a1b82">4.00</Deliverable_x0020_Version>
    <QTM xmlns="f43ce2c9-dc0e-47df-bff4-f8652d3a1b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3C5A3B01F9B147ACF7DB46E69D3A87" ma:contentTypeVersion="8" ma:contentTypeDescription="Create a new document." ma:contentTypeScope="" ma:versionID="f3f1610cbf00f21d19f2670cfccc01e7">
  <xsd:schema xmlns:xsd="http://www.w3.org/2001/XMLSchema" xmlns:xs="http://www.w3.org/2001/XMLSchema" xmlns:p="http://schemas.microsoft.com/office/2006/metadata/properties" xmlns:ns2="f43ce2c9-dc0e-47df-bff4-f8652d3a1b82" targetNamespace="http://schemas.microsoft.com/office/2006/metadata/properties" ma:root="true" ma:fieldsID="fd23e4af9bc774fb8b0192ec67349323" ns2:_="">
    <xsd:import namespace="f43ce2c9-dc0e-47df-bff4-f8652d3a1b82"/>
    <xsd:element name="properties">
      <xsd:complexType>
        <xsd:sequence>
          <xsd:element name="documentManagement">
            <xsd:complexType>
              <xsd:all>
                <xsd:element ref="ns2:Deliverable_x0020_Status" minOccurs="0"/>
                <xsd:element ref="ns2:Deliverable_x0020_Version" minOccurs="0"/>
                <xsd:element ref="ns2:QT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ce2c9-dc0e-47df-bff4-f8652d3a1b82" elementFormDefault="qualified">
    <xsd:import namespace="http://schemas.microsoft.com/office/2006/documentManagement/types"/>
    <xsd:import namespace="http://schemas.microsoft.com/office/infopath/2007/PartnerControls"/>
    <xsd:element name="Deliverable_x0020_Status" ma:index="8" nillable="true" ma:displayName="Deliverable Status" ma:default="01. Working/Draft" ma:format="Dropdown" ma:indexed="true" ma:internalName="Deliverable_x0020_Status">
      <xsd:simpleType>
        <xsd:restriction base="dms:Choice">
          <xsd:enumeration value="01. Working/Draft"/>
          <xsd:enumeration value="02. Internal QAC"/>
          <xsd:enumeration value="03. SFI"/>
          <xsd:enumeration value="04. SFR"/>
          <xsd:enumeration value="05. CCO"/>
          <xsd:enumeration value="06. APO"/>
          <xsd:enumeration value="07. MDE"/>
          <xsd:enumeration value="08. SFA"/>
          <xsd:enumeration value="08.01. AIM"/>
          <xsd:enumeration value="09. IVE"/>
          <xsd:enumeration value="10. Re-SfA"/>
          <xsd:enumeration value="99. Other"/>
        </xsd:restriction>
      </xsd:simpleType>
    </xsd:element>
    <xsd:element name="Deliverable_x0020_Version" ma:index="9" nillable="true" ma:displayName="Deliverable Version" ma:description="Version of the deliverable (TAXUD version) (e.g. 1.00)" ma:indexed="true" ma:internalName="Deliverable_x0020_Version">
      <xsd:simpleType>
        <xsd:restriction base="dms:Text">
          <xsd:maxLength value="255"/>
        </xsd:restriction>
      </xsd:simpleType>
    </xsd:element>
    <xsd:element name="QTM" ma:index="10" nillable="true" ma:displayName="QTM" ma:indexed="true" ma:list="{fb1d9386-5035-4220-a1aa-a5a5cd4444bb}" ma:internalName="QTM"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3151E-BE4C-43FF-88C9-D58AEF3F0157}">
  <ds:schemaRefs>
    <ds:schemaRef ds:uri="http://schemas.microsoft.com/office/2006/metadata/properties"/>
    <ds:schemaRef ds:uri="http://schemas.microsoft.com/office/infopath/2007/PartnerControls"/>
    <ds:schemaRef ds:uri="f43ce2c9-dc0e-47df-bff4-f8652d3a1b82"/>
  </ds:schemaRefs>
</ds:datastoreItem>
</file>

<file path=customXml/itemProps2.xml><?xml version="1.0" encoding="utf-8"?>
<ds:datastoreItem xmlns:ds="http://schemas.openxmlformats.org/officeDocument/2006/customXml" ds:itemID="{8DFEB2CF-DBD2-4FAF-852C-1181CF7F3212}">
  <ds:schemaRefs>
    <ds:schemaRef ds:uri="http://schemas.microsoft.com/sharepoint/v3/contenttype/forms"/>
  </ds:schemaRefs>
</ds:datastoreItem>
</file>

<file path=customXml/itemProps3.xml><?xml version="1.0" encoding="utf-8"?>
<ds:datastoreItem xmlns:ds="http://schemas.openxmlformats.org/officeDocument/2006/customXml" ds:itemID="{0B54B00F-F593-482D-8469-6AC48ABF6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ce2c9-dc0e-47df-bff4-f8652d3a1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6EFCD7-A180-4C66-8BEE-D180E9342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Teplate.dotx</Template>
  <TotalTime>73</TotalTime>
  <Pages>20</Pages>
  <Words>6061</Words>
  <Characters>36919</Characters>
  <Application>Microsoft Office Word</Application>
  <DocSecurity>0</DocSecurity>
  <Lines>769</Lines>
  <Paragraphs>452</Paragraphs>
  <ScaleCrop>false</ScaleCrop>
  <HeadingPairs>
    <vt:vector size="2" baseType="variant">
      <vt:variant>
        <vt:lpstr>Title</vt:lpstr>
      </vt:variant>
      <vt:variant>
        <vt:i4>1</vt:i4>
      </vt:variant>
    </vt:vector>
  </HeadingPairs>
  <TitlesOfParts>
    <vt:vector size="1" baseType="lpstr">
      <vt:lpstr>Customs Decision Business User Information Documents</vt:lpstr>
    </vt:vector>
  </TitlesOfParts>
  <Company>ARHS</Company>
  <LinksUpToDate>false</LinksUpToDate>
  <CharactersWithSpaces>42528</CharactersWithSpaces>
  <SharedDoc>false</SharedDoc>
  <HLinks>
    <vt:vector size="798" baseType="variant">
      <vt:variant>
        <vt:i4>2031664</vt:i4>
      </vt:variant>
      <vt:variant>
        <vt:i4>818</vt:i4>
      </vt:variant>
      <vt:variant>
        <vt:i4>0</vt:i4>
      </vt:variant>
      <vt:variant>
        <vt:i4>5</vt:i4>
      </vt:variant>
      <vt:variant>
        <vt:lpwstr/>
      </vt:variant>
      <vt:variant>
        <vt:lpwstr>_Toc469990478</vt:lpwstr>
      </vt:variant>
      <vt:variant>
        <vt:i4>2031664</vt:i4>
      </vt:variant>
      <vt:variant>
        <vt:i4>812</vt:i4>
      </vt:variant>
      <vt:variant>
        <vt:i4>0</vt:i4>
      </vt:variant>
      <vt:variant>
        <vt:i4>5</vt:i4>
      </vt:variant>
      <vt:variant>
        <vt:lpwstr/>
      </vt:variant>
      <vt:variant>
        <vt:lpwstr>_Toc469990477</vt:lpwstr>
      </vt:variant>
      <vt:variant>
        <vt:i4>2031664</vt:i4>
      </vt:variant>
      <vt:variant>
        <vt:i4>806</vt:i4>
      </vt:variant>
      <vt:variant>
        <vt:i4>0</vt:i4>
      </vt:variant>
      <vt:variant>
        <vt:i4>5</vt:i4>
      </vt:variant>
      <vt:variant>
        <vt:lpwstr/>
      </vt:variant>
      <vt:variant>
        <vt:lpwstr>_Toc469990476</vt:lpwstr>
      </vt:variant>
      <vt:variant>
        <vt:i4>2031664</vt:i4>
      </vt:variant>
      <vt:variant>
        <vt:i4>800</vt:i4>
      </vt:variant>
      <vt:variant>
        <vt:i4>0</vt:i4>
      </vt:variant>
      <vt:variant>
        <vt:i4>5</vt:i4>
      </vt:variant>
      <vt:variant>
        <vt:lpwstr/>
      </vt:variant>
      <vt:variant>
        <vt:lpwstr>_Toc469990475</vt:lpwstr>
      </vt:variant>
      <vt:variant>
        <vt:i4>2031664</vt:i4>
      </vt:variant>
      <vt:variant>
        <vt:i4>794</vt:i4>
      </vt:variant>
      <vt:variant>
        <vt:i4>0</vt:i4>
      </vt:variant>
      <vt:variant>
        <vt:i4>5</vt:i4>
      </vt:variant>
      <vt:variant>
        <vt:lpwstr/>
      </vt:variant>
      <vt:variant>
        <vt:lpwstr>_Toc469990474</vt:lpwstr>
      </vt:variant>
      <vt:variant>
        <vt:i4>2031664</vt:i4>
      </vt:variant>
      <vt:variant>
        <vt:i4>788</vt:i4>
      </vt:variant>
      <vt:variant>
        <vt:i4>0</vt:i4>
      </vt:variant>
      <vt:variant>
        <vt:i4>5</vt:i4>
      </vt:variant>
      <vt:variant>
        <vt:lpwstr/>
      </vt:variant>
      <vt:variant>
        <vt:lpwstr>_Toc469990473</vt:lpwstr>
      </vt:variant>
      <vt:variant>
        <vt:i4>2031664</vt:i4>
      </vt:variant>
      <vt:variant>
        <vt:i4>782</vt:i4>
      </vt:variant>
      <vt:variant>
        <vt:i4>0</vt:i4>
      </vt:variant>
      <vt:variant>
        <vt:i4>5</vt:i4>
      </vt:variant>
      <vt:variant>
        <vt:lpwstr/>
      </vt:variant>
      <vt:variant>
        <vt:lpwstr>_Toc469990472</vt:lpwstr>
      </vt:variant>
      <vt:variant>
        <vt:i4>2031664</vt:i4>
      </vt:variant>
      <vt:variant>
        <vt:i4>776</vt:i4>
      </vt:variant>
      <vt:variant>
        <vt:i4>0</vt:i4>
      </vt:variant>
      <vt:variant>
        <vt:i4>5</vt:i4>
      </vt:variant>
      <vt:variant>
        <vt:lpwstr/>
      </vt:variant>
      <vt:variant>
        <vt:lpwstr>_Toc469990471</vt:lpwstr>
      </vt:variant>
      <vt:variant>
        <vt:i4>2031664</vt:i4>
      </vt:variant>
      <vt:variant>
        <vt:i4>770</vt:i4>
      </vt:variant>
      <vt:variant>
        <vt:i4>0</vt:i4>
      </vt:variant>
      <vt:variant>
        <vt:i4>5</vt:i4>
      </vt:variant>
      <vt:variant>
        <vt:lpwstr/>
      </vt:variant>
      <vt:variant>
        <vt:lpwstr>_Toc469990470</vt:lpwstr>
      </vt:variant>
      <vt:variant>
        <vt:i4>1966128</vt:i4>
      </vt:variant>
      <vt:variant>
        <vt:i4>764</vt:i4>
      </vt:variant>
      <vt:variant>
        <vt:i4>0</vt:i4>
      </vt:variant>
      <vt:variant>
        <vt:i4>5</vt:i4>
      </vt:variant>
      <vt:variant>
        <vt:lpwstr/>
      </vt:variant>
      <vt:variant>
        <vt:lpwstr>_Toc469990469</vt:lpwstr>
      </vt:variant>
      <vt:variant>
        <vt:i4>1966128</vt:i4>
      </vt:variant>
      <vt:variant>
        <vt:i4>758</vt:i4>
      </vt:variant>
      <vt:variant>
        <vt:i4>0</vt:i4>
      </vt:variant>
      <vt:variant>
        <vt:i4>5</vt:i4>
      </vt:variant>
      <vt:variant>
        <vt:lpwstr/>
      </vt:variant>
      <vt:variant>
        <vt:lpwstr>_Toc469990468</vt:lpwstr>
      </vt:variant>
      <vt:variant>
        <vt:i4>1966128</vt:i4>
      </vt:variant>
      <vt:variant>
        <vt:i4>752</vt:i4>
      </vt:variant>
      <vt:variant>
        <vt:i4>0</vt:i4>
      </vt:variant>
      <vt:variant>
        <vt:i4>5</vt:i4>
      </vt:variant>
      <vt:variant>
        <vt:lpwstr/>
      </vt:variant>
      <vt:variant>
        <vt:lpwstr>_Toc469990467</vt:lpwstr>
      </vt:variant>
      <vt:variant>
        <vt:i4>1966128</vt:i4>
      </vt:variant>
      <vt:variant>
        <vt:i4>746</vt:i4>
      </vt:variant>
      <vt:variant>
        <vt:i4>0</vt:i4>
      </vt:variant>
      <vt:variant>
        <vt:i4>5</vt:i4>
      </vt:variant>
      <vt:variant>
        <vt:lpwstr/>
      </vt:variant>
      <vt:variant>
        <vt:lpwstr>_Toc469990466</vt:lpwstr>
      </vt:variant>
      <vt:variant>
        <vt:i4>1966128</vt:i4>
      </vt:variant>
      <vt:variant>
        <vt:i4>740</vt:i4>
      </vt:variant>
      <vt:variant>
        <vt:i4>0</vt:i4>
      </vt:variant>
      <vt:variant>
        <vt:i4>5</vt:i4>
      </vt:variant>
      <vt:variant>
        <vt:lpwstr/>
      </vt:variant>
      <vt:variant>
        <vt:lpwstr>_Toc469990465</vt:lpwstr>
      </vt:variant>
      <vt:variant>
        <vt:i4>1966128</vt:i4>
      </vt:variant>
      <vt:variant>
        <vt:i4>734</vt:i4>
      </vt:variant>
      <vt:variant>
        <vt:i4>0</vt:i4>
      </vt:variant>
      <vt:variant>
        <vt:i4>5</vt:i4>
      </vt:variant>
      <vt:variant>
        <vt:lpwstr/>
      </vt:variant>
      <vt:variant>
        <vt:lpwstr>_Toc469990464</vt:lpwstr>
      </vt:variant>
      <vt:variant>
        <vt:i4>1966128</vt:i4>
      </vt:variant>
      <vt:variant>
        <vt:i4>728</vt:i4>
      </vt:variant>
      <vt:variant>
        <vt:i4>0</vt:i4>
      </vt:variant>
      <vt:variant>
        <vt:i4>5</vt:i4>
      </vt:variant>
      <vt:variant>
        <vt:lpwstr/>
      </vt:variant>
      <vt:variant>
        <vt:lpwstr>_Toc469990463</vt:lpwstr>
      </vt:variant>
      <vt:variant>
        <vt:i4>1966128</vt:i4>
      </vt:variant>
      <vt:variant>
        <vt:i4>722</vt:i4>
      </vt:variant>
      <vt:variant>
        <vt:i4>0</vt:i4>
      </vt:variant>
      <vt:variant>
        <vt:i4>5</vt:i4>
      </vt:variant>
      <vt:variant>
        <vt:lpwstr/>
      </vt:variant>
      <vt:variant>
        <vt:lpwstr>_Toc469990462</vt:lpwstr>
      </vt:variant>
      <vt:variant>
        <vt:i4>1966128</vt:i4>
      </vt:variant>
      <vt:variant>
        <vt:i4>716</vt:i4>
      </vt:variant>
      <vt:variant>
        <vt:i4>0</vt:i4>
      </vt:variant>
      <vt:variant>
        <vt:i4>5</vt:i4>
      </vt:variant>
      <vt:variant>
        <vt:lpwstr/>
      </vt:variant>
      <vt:variant>
        <vt:lpwstr>_Toc469990461</vt:lpwstr>
      </vt:variant>
      <vt:variant>
        <vt:i4>1966128</vt:i4>
      </vt:variant>
      <vt:variant>
        <vt:i4>710</vt:i4>
      </vt:variant>
      <vt:variant>
        <vt:i4>0</vt:i4>
      </vt:variant>
      <vt:variant>
        <vt:i4>5</vt:i4>
      </vt:variant>
      <vt:variant>
        <vt:lpwstr/>
      </vt:variant>
      <vt:variant>
        <vt:lpwstr>_Toc469990460</vt:lpwstr>
      </vt:variant>
      <vt:variant>
        <vt:i4>1900592</vt:i4>
      </vt:variant>
      <vt:variant>
        <vt:i4>704</vt:i4>
      </vt:variant>
      <vt:variant>
        <vt:i4>0</vt:i4>
      </vt:variant>
      <vt:variant>
        <vt:i4>5</vt:i4>
      </vt:variant>
      <vt:variant>
        <vt:lpwstr/>
      </vt:variant>
      <vt:variant>
        <vt:lpwstr>_Toc469990459</vt:lpwstr>
      </vt:variant>
      <vt:variant>
        <vt:i4>1900592</vt:i4>
      </vt:variant>
      <vt:variant>
        <vt:i4>698</vt:i4>
      </vt:variant>
      <vt:variant>
        <vt:i4>0</vt:i4>
      </vt:variant>
      <vt:variant>
        <vt:i4>5</vt:i4>
      </vt:variant>
      <vt:variant>
        <vt:lpwstr/>
      </vt:variant>
      <vt:variant>
        <vt:lpwstr>_Toc469990458</vt:lpwstr>
      </vt:variant>
      <vt:variant>
        <vt:i4>1900592</vt:i4>
      </vt:variant>
      <vt:variant>
        <vt:i4>692</vt:i4>
      </vt:variant>
      <vt:variant>
        <vt:i4>0</vt:i4>
      </vt:variant>
      <vt:variant>
        <vt:i4>5</vt:i4>
      </vt:variant>
      <vt:variant>
        <vt:lpwstr/>
      </vt:variant>
      <vt:variant>
        <vt:lpwstr>_Toc469990457</vt:lpwstr>
      </vt:variant>
      <vt:variant>
        <vt:i4>1900592</vt:i4>
      </vt:variant>
      <vt:variant>
        <vt:i4>686</vt:i4>
      </vt:variant>
      <vt:variant>
        <vt:i4>0</vt:i4>
      </vt:variant>
      <vt:variant>
        <vt:i4>5</vt:i4>
      </vt:variant>
      <vt:variant>
        <vt:lpwstr/>
      </vt:variant>
      <vt:variant>
        <vt:lpwstr>_Toc469990456</vt:lpwstr>
      </vt:variant>
      <vt:variant>
        <vt:i4>1900592</vt:i4>
      </vt:variant>
      <vt:variant>
        <vt:i4>680</vt:i4>
      </vt:variant>
      <vt:variant>
        <vt:i4>0</vt:i4>
      </vt:variant>
      <vt:variant>
        <vt:i4>5</vt:i4>
      </vt:variant>
      <vt:variant>
        <vt:lpwstr/>
      </vt:variant>
      <vt:variant>
        <vt:lpwstr>_Toc469990455</vt:lpwstr>
      </vt:variant>
      <vt:variant>
        <vt:i4>1900592</vt:i4>
      </vt:variant>
      <vt:variant>
        <vt:i4>674</vt:i4>
      </vt:variant>
      <vt:variant>
        <vt:i4>0</vt:i4>
      </vt:variant>
      <vt:variant>
        <vt:i4>5</vt:i4>
      </vt:variant>
      <vt:variant>
        <vt:lpwstr/>
      </vt:variant>
      <vt:variant>
        <vt:lpwstr>_Toc469990454</vt:lpwstr>
      </vt:variant>
      <vt:variant>
        <vt:i4>1900592</vt:i4>
      </vt:variant>
      <vt:variant>
        <vt:i4>668</vt:i4>
      </vt:variant>
      <vt:variant>
        <vt:i4>0</vt:i4>
      </vt:variant>
      <vt:variant>
        <vt:i4>5</vt:i4>
      </vt:variant>
      <vt:variant>
        <vt:lpwstr/>
      </vt:variant>
      <vt:variant>
        <vt:lpwstr>_Toc469990453</vt:lpwstr>
      </vt:variant>
      <vt:variant>
        <vt:i4>1900592</vt:i4>
      </vt:variant>
      <vt:variant>
        <vt:i4>662</vt:i4>
      </vt:variant>
      <vt:variant>
        <vt:i4>0</vt:i4>
      </vt:variant>
      <vt:variant>
        <vt:i4>5</vt:i4>
      </vt:variant>
      <vt:variant>
        <vt:lpwstr/>
      </vt:variant>
      <vt:variant>
        <vt:lpwstr>_Toc469990452</vt:lpwstr>
      </vt:variant>
      <vt:variant>
        <vt:i4>1900592</vt:i4>
      </vt:variant>
      <vt:variant>
        <vt:i4>656</vt:i4>
      </vt:variant>
      <vt:variant>
        <vt:i4>0</vt:i4>
      </vt:variant>
      <vt:variant>
        <vt:i4>5</vt:i4>
      </vt:variant>
      <vt:variant>
        <vt:lpwstr/>
      </vt:variant>
      <vt:variant>
        <vt:lpwstr>_Toc469990451</vt:lpwstr>
      </vt:variant>
      <vt:variant>
        <vt:i4>1900592</vt:i4>
      </vt:variant>
      <vt:variant>
        <vt:i4>647</vt:i4>
      </vt:variant>
      <vt:variant>
        <vt:i4>0</vt:i4>
      </vt:variant>
      <vt:variant>
        <vt:i4>5</vt:i4>
      </vt:variant>
      <vt:variant>
        <vt:lpwstr/>
      </vt:variant>
      <vt:variant>
        <vt:lpwstr>_Toc469990450</vt:lpwstr>
      </vt:variant>
      <vt:variant>
        <vt:i4>1835056</vt:i4>
      </vt:variant>
      <vt:variant>
        <vt:i4>641</vt:i4>
      </vt:variant>
      <vt:variant>
        <vt:i4>0</vt:i4>
      </vt:variant>
      <vt:variant>
        <vt:i4>5</vt:i4>
      </vt:variant>
      <vt:variant>
        <vt:lpwstr/>
      </vt:variant>
      <vt:variant>
        <vt:lpwstr>_Toc469990449</vt:lpwstr>
      </vt:variant>
      <vt:variant>
        <vt:i4>1835056</vt:i4>
      </vt:variant>
      <vt:variant>
        <vt:i4>635</vt:i4>
      </vt:variant>
      <vt:variant>
        <vt:i4>0</vt:i4>
      </vt:variant>
      <vt:variant>
        <vt:i4>5</vt:i4>
      </vt:variant>
      <vt:variant>
        <vt:lpwstr/>
      </vt:variant>
      <vt:variant>
        <vt:lpwstr>_Toc469990448</vt:lpwstr>
      </vt:variant>
      <vt:variant>
        <vt:i4>1835056</vt:i4>
      </vt:variant>
      <vt:variant>
        <vt:i4>629</vt:i4>
      </vt:variant>
      <vt:variant>
        <vt:i4>0</vt:i4>
      </vt:variant>
      <vt:variant>
        <vt:i4>5</vt:i4>
      </vt:variant>
      <vt:variant>
        <vt:lpwstr/>
      </vt:variant>
      <vt:variant>
        <vt:lpwstr>_Toc469990447</vt:lpwstr>
      </vt:variant>
      <vt:variant>
        <vt:i4>1835056</vt:i4>
      </vt:variant>
      <vt:variant>
        <vt:i4>623</vt:i4>
      </vt:variant>
      <vt:variant>
        <vt:i4>0</vt:i4>
      </vt:variant>
      <vt:variant>
        <vt:i4>5</vt:i4>
      </vt:variant>
      <vt:variant>
        <vt:lpwstr/>
      </vt:variant>
      <vt:variant>
        <vt:lpwstr>_Toc469990446</vt:lpwstr>
      </vt:variant>
      <vt:variant>
        <vt:i4>1835056</vt:i4>
      </vt:variant>
      <vt:variant>
        <vt:i4>617</vt:i4>
      </vt:variant>
      <vt:variant>
        <vt:i4>0</vt:i4>
      </vt:variant>
      <vt:variant>
        <vt:i4>5</vt:i4>
      </vt:variant>
      <vt:variant>
        <vt:lpwstr/>
      </vt:variant>
      <vt:variant>
        <vt:lpwstr>_Toc469990445</vt:lpwstr>
      </vt:variant>
      <vt:variant>
        <vt:i4>1835056</vt:i4>
      </vt:variant>
      <vt:variant>
        <vt:i4>611</vt:i4>
      </vt:variant>
      <vt:variant>
        <vt:i4>0</vt:i4>
      </vt:variant>
      <vt:variant>
        <vt:i4>5</vt:i4>
      </vt:variant>
      <vt:variant>
        <vt:lpwstr/>
      </vt:variant>
      <vt:variant>
        <vt:lpwstr>_Toc469990444</vt:lpwstr>
      </vt:variant>
      <vt:variant>
        <vt:i4>1835056</vt:i4>
      </vt:variant>
      <vt:variant>
        <vt:i4>605</vt:i4>
      </vt:variant>
      <vt:variant>
        <vt:i4>0</vt:i4>
      </vt:variant>
      <vt:variant>
        <vt:i4>5</vt:i4>
      </vt:variant>
      <vt:variant>
        <vt:lpwstr/>
      </vt:variant>
      <vt:variant>
        <vt:lpwstr>_Toc469990443</vt:lpwstr>
      </vt:variant>
      <vt:variant>
        <vt:i4>1835056</vt:i4>
      </vt:variant>
      <vt:variant>
        <vt:i4>599</vt:i4>
      </vt:variant>
      <vt:variant>
        <vt:i4>0</vt:i4>
      </vt:variant>
      <vt:variant>
        <vt:i4>5</vt:i4>
      </vt:variant>
      <vt:variant>
        <vt:lpwstr/>
      </vt:variant>
      <vt:variant>
        <vt:lpwstr>_Toc469990442</vt:lpwstr>
      </vt:variant>
      <vt:variant>
        <vt:i4>1835056</vt:i4>
      </vt:variant>
      <vt:variant>
        <vt:i4>590</vt:i4>
      </vt:variant>
      <vt:variant>
        <vt:i4>0</vt:i4>
      </vt:variant>
      <vt:variant>
        <vt:i4>5</vt:i4>
      </vt:variant>
      <vt:variant>
        <vt:lpwstr/>
      </vt:variant>
      <vt:variant>
        <vt:lpwstr>_Toc469990441</vt:lpwstr>
      </vt:variant>
      <vt:variant>
        <vt:i4>1835056</vt:i4>
      </vt:variant>
      <vt:variant>
        <vt:i4>584</vt:i4>
      </vt:variant>
      <vt:variant>
        <vt:i4>0</vt:i4>
      </vt:variant>
      <vt:variant>
        <vt:i4>5</vt:i4>
      </vt:variant>
      <vt:variant>
        <vt:lpwstr/>
      </vt:variant>
      <vt:variant>
        <vt:lpwstr>_Toc469990440</vt:lpwstr>
      </vt:variant>
      <vt:variant>
        <vt:i4>1769520</vt:i4>
      </vt:variant>
      <vt:variant>
        <vt:i4>578</vt:i4>
      </vt:variant>
      <vt:variant>
        <vt:i4>0</vt:i4>
      </vt:variant>
      <vt:variant>
        <vt:i4>5</vt:i4>
      </vt:variant>
      <vt:variant>
        <vt:lpwstr/>
      </vt:variant>
      <vt:variant>
        <vt:lpwstr>_Toc469990439</vt:lpwstr>
      </vt:variant>
      <vt:variant>
        <vt:i4>1769520</vt:i4>
      </vt:variant>
      <vt:variant>
        <vt:i4>572</vt:i4>
      </vt:variant>
      <vt:variant>
        <vt:i4>0</vt:i4>
      </vt:variant>
      <vt:variant>
        <vt:i4>5</vt:i4>
      </vt:variant>
      <vt:variant>
        <vt:lpwstr/>
      </vt:variant>
      <vt:variant>
        <vt:lpwstr>_Toc469990438</vt:lpwstr>
      </vt:variant>
      <vt:variant>
        <vt:i4>1769520</vt:i4>
      </vt:variant>
      <vt:variant>
        <vt:i4>566</vt:i4>
      </vt:variant>
      <vt:variant>
        <vt:i4>0</vt:i4>
      </vt:variant>
      <vt:variant>
        <vt:i4>5</vt:i4>
      </vt:variant>
      <vt:variant>
        <vt:lpwstr/>
      </vt:variant>
      <vt:variant>
        <vt:lpwstr>_Toc469990437</vt:lpwstr>
      </vt:variant>
      <vt:variant>
        <vt:i4>1769520</vt:i4>
      </vt:variant>
      <vt:variant>
        <vt:i4>560</vt:i4>
      </vt:variant>
      <vt:variant>
        <vt:i4>0</vt:i4>
      </vt:variant>
      <vt:variant>
        <vt:i4>5</vt:i4>
      </vt:variant>
      <vt:variant>
        <vt:lpwstr/>
      </vt:variant>
      <vt:variant>
        <vt:lpwstr>_Toc469990436</vt:lpwstr>
      </vt:variant>
      <vt:variant>
        <vt:i4>1769520</vt:i4>
      </vt:variant>
      <vt:variant>
        <vt:i4>554</vt:i4>
      </vt:variant>
      <vt:variant>
        <vt:i4>0</vt:i4>
      </vt:variant>
      <vt:variant>
        <vt:i4>5</vt:i4>
      </vt:variant>
      <vt:variant>
        <vt:lpwstr/>
      </vt:variant>
      <vt:variant>
        <vt:lpwstr>_Toc469990435</vt:lpwstr>
      </vt:variant>
      <vt:variant>
        <vt:i4>1769520</vt:i4>
      </vt:variant>
      <vt:variant>
        <vt:i4>548</vt:i4>
      </vt:variant>
      <vt:variant>
        <vt:i4>0</vt:i4>
      </vt:variant>
      <vt:variant>
        <vt:i4>5</vt:i4>
      </vt:variant>
      <vt:variant>
        <vt:lpwstr/>
      </vt:variant>
      <vt:variant>
        <vt:lpwstr>_Toc469990434</vt:lpwstr>
      </vt:variant>
      <vt:variant>
        <vt:i4>1769520</vt:i4>
      </vt:variant>
      <vt:variant>
        <vt:i4>542</vt:i4>
      </vt:variant>
      <vt:variant>
        <vt:i4>0</vt:i4>
      </vt:variant>
      <vt:variant>
        <vt:i4>5</vt:i4>
      </vt:variant>
      <vt:variant>
        <vt:lpwstr/>
      </vt:variant>
      <vt:variant>
        <vt:lpwstr>_Toc469990433</vt:lpwstr>
      </vt:variant>
      <vt:variant>
        <vt:i4>1769520</vt:i4>
      </vt:variant>
      <vt:variant>
        <vt:i4>536</vt:i4>
      </vt:variant>
      <vt:variant>
        <vt:i4>0</vt:i4>
      </vt:variant>
      <vt:variant>
        <vt:i4>5</vt:i4>
      </vt:variant>
      <vt:variant>
        <vt:lpwstr/>
      </vt:variant>
      <vt:variant>
        <vt:lpwstr>_Toc469990432</vt:lpwstr>
      </vt:variant>
      <vt:variant>
        <vt:i4>1769520</vt:i4>
      </vt:variant>
      <vt:variant>
        <vt:i4>530</vt:i4>
      </vt:variant>
      <vt:variant>
        <vt:i4>0</vt:i4>
      </vt:variant>
      <vt:variant>
        <vt:i4>5</vt:i4>
      </vt:variant>
      <vt:variant>
        <vt:lpwstr/>
      </vt:variant>
      <vt:variant>
        <vt:lpwstr>_Toc469990431</vt:lpwstr>
      </vt:variant>
      <vt:variant>
        <vt:i4>1769520</vt:i4>
      </vt:variant>
      <vt:variant>
        <vt:i4>524</vt:i4>
      </vt:variant>
      <vt:variant>
        <vt:i4>0</vt:i4>
      </vt:variant>
      <vt:variant>
        <vt:i4>5</vt:i4>
      </vt:variant>
      <vt:variant>
        <vt:lpwstr/>
      </vt:variant>
      <vt:variant>
        <vt:lpwstr>_Toc469990430</vt:lpwstr>
      </vt:variant>
      <vt:variant>
        <vt:i4>1703984</vt:i4>
      </vt:variant>
      <vt:variant>
        <vt:i4>518</vt:i4>
      </vt:variant>
      <vt:variant>
        <vt:i4>0</vt:i4>
      </vt:variant>
      <vt:variant>
        <vt:i4>5</vt:i4>
      </vt:variant>
      <vt:variant>
        <vt:lpwstr/>
      </vt:variant>
      <vt:variant>
        <vt:lpwstr>_Toc469990429</vt:lpwstr>
      </vt:variant>
      <vt:variant>
        <vt:i4>1703984</vt:i4>
      </vt:variant>
      <vt:variant>
        <vt:i4>512</vt:i4>
      </vt:variant>
      <vt:variant>
        <vt:i4>0</vt:i4>
      </vt:variant>
      <vt:variant>
        <vt:i4>5</vt:i4>
      </vt:variant>
      <vt:variant>
        <vt:lpwstr/>
      </vt:variant>
      <vt:variant>
        <vt:lpwstr>_Toc469990428</vt:lpwstr>
      </vt:variant>
      <vt:variant>
        <vt:i4>1703984</vt:i4>
      </vt:variant>
      <vt:variant>
        <vt:i4>506</vt:i4>
      </vt:variant>
      <vt:variant>
        <vt:i4>0</vt:i4>
      </vt:variant>
      <vt:variant>
        <vt:i4>5</vt:i4>
      </vt:variant>
      <vt:variant>
        <vt:lpwstr/>
      </vt:variant>
      <vt:variant>
        <vt:lpwstr>_Toc469990427</vt:lpwstr>
      </vt:variant>
      <vt:variant>
        <vt:i4>1703984</vt:i4>
      </vt:variant>
      <vt:variant>
        <vt:i4>500</vt:i4>
      </vt:variant>
      <vt:variant>
        <vt:i4>0</vt:i4>
      </vt:variant>
      <vt:variant>
        <vt:i4>5</vt:i4>
      </vt:variant>
      <vt:variant>
        <vt:lpwstr/>
      </vt:variant>
      <vt:variant>
        <vt:lpwstr>_Toc469990426</vt:lpwstr>
      </vt:variant>
      <vt:variant>
        <vt:i4>1703984</vt:i4>
      </vt:variant>
      <vt:variant>
        <vt:i4>494</vt:i4>
      </vt:variant>
      <vt:variant>
        <vt:i4>0</vt:i4>
      </vt:variant>
      <vt:variant>
        <vt:i4>5</vt:i4>
      </vt:variant>
      <vt:variant>
        <vt:lpwstr/>
      </vt:variant>
      <vt:variant>
        <vt:lpwstr>_Toc469990425</vt:lpwstr>
      </vt:variant>
      <vt:variant>
        <vt:i4>1703984</vt:i4>
      </vt:variant>
      <vt:variant>
        <vt:i4>488</vt:i4>
      </vt:variant>
      <vt:variant>
        <vt:i4>0</vt:i4>
      </vt:variant>
      <vt:variant>
        <vt:i4>5</vt:i4>
      </vt:variant>
      <vt:variant>
        <vt:lpwstr/>
      </vt:variant>
      <vt:variant>
        <vt:lpwstr>_Toc469990424</vt:lpwstr>
      </vt:variant>
      <vt:variant>
        <vt:i4>1703984</vt:i4>
      </vt:variant>
      <vt:variant>
        <vt:i4>482</vt:i4>
      </vt:variant>
      <vt:variant>
        <vt:i4>0</vt:i4>
      </vt:variant>
      <vt:variant>
        <vt:i4>5</vt:i4>
      </vt:variant>
      <vt:variant>
        <vt:lpwstr/>
      </vt:variant>
      <vt:variant>
        <vt:lpwstr>_Toc469990423</vt:lpwstr>
      </vt:variant>
      <vt:variant>
        <vt:i4>1703984</vt:i4>
      </vt:variant>
      <vt:variant>
        <vt:i4>476</vt:i4>
      </vt:variant>
      <vt:variant>
        <vt:i4>0</vt:i4>
      </vt:variant>
      <vt:variant>
        <vt:i4>5</vt:i4>
      </vt:variant>
      <vt:variant>
        <vt:lpwstr/>
      </vt:variant>
      <vt:variant>
        <vt:lpwstr>_Toc469990422</vt:lpwstr>
      </vt:variant>
      <vt:variant>
        <vt:i4>1703984</vt:i4>
      </vt:variant>
      <vt:variant>
        <vt:i4>470</vt:i4>
      </vt:variant>
      <vt:variant>
        <vt:i4>0</vt:i4>
      </vt:variant>
      <vt:variant>
        <vt:i4>5</vt:i4>
      </vt:variant>
      <vt:variant>
        <vt:lpwstr/>
      </vt:variant>
      <vt:variant>
        <vt:lpwstr>_Toc469990421</vt:lpwstr>
      </vt:variant>
      <vt:variant>
        <vt:i4>1703984</vt:i4>
      </vt:variant>
      <vt:variant>
        <vt:i4>464</vt:i4>
      </vt:variant>
      <vt:variant>
        <vt:i4>0</vt:i4>
      </vt:variant>
      <vt:variant>
        <vt:i4>5</vt:i4>
      </vt:variant>
      <vt:variant>
        <vt:lpwstr/>
      </vt:variant>
      <vt:variant>
        <vt:lpwstr>_Toc469990420</vt:lpwstr>
      </vt:variant>
      <vt:variant>
        <vt:i4>1638448</vt:i4>
      </vt:variant>
      <vt:variant>
        <vt:i4>458</vt:i4>
      </vt:variant>
      <vt:variant>
        <vt:i4>0</vt:i4>
      </vt:variant>
      <vt:variant>
        <vt:i4>5</vt:i4>
      </vt:variant>
      <vt:variant>
        <vt:lpwstr/>
      </vt:variant>
      <vt:variant>
        <vt:lpwstr>_Toc469990419</vt:lpwstr>
      </vt:variant>
      <vt:variant>
        <vt:i4>1638448</vt:i4>
      </vt:variant>
      <vt:variant>
        <vt:i4>452</vt:i4>
      </vt:variant>
      <vt:variant>
        <vt:i4>0</vt:i4>
      </vt:variant>
      <vt:variant>
        <vt:i4>5</vt:i4>
      </vt:variant>
      <vt:variant>
        <vt:lpwstr/>
      </vt:variant>
      <vt:variant>
        <vt:lpwstr>_Toc469990418</vt:lpwstr>
      </vt:variant>
      <vt:variant>
        <vt:i4>1638448</vt:i4>
      </vt:variant>
      <vt:variant>
        <vt:i4>446</vt:i4>
      </vt:variant>
      <vt:variant>
        <vt:i4>0</vt:i4>
      </vt:variant>
      <vt:variant>
        <vt:i4>5</vt:i4>
      </vt:variant>
      <vt:variant>
        <vt:lpwstr/>
      </vt:variant>
      <vt:variant>
        <vt:lpwstr>_Toc469990417</vt:lpwstr>
      </vt:variant>
      <vt:variant>
        <vt:i4>1638448</vt:i4>
      </vt:variant>
      <vt:variant>
        <vt:i4>440</vt:i4>
      </vt:variant>
      <vt:variant>
        <vt:i4>0</vt:i4>
      </vt:variant>
      <vt:variant>
        <vt:i4>5</vt:i4>
      </vt:variant>
      <vt:variant>
        <vt:lpwstr/>
      </vt:variant>
      <vt:variant>
        <vt:lpwstr>_Toc469990416</vt:lpwstr>
      </vt:variant>
      <vt:variant>
        <vt:i4>1638448</vt:i4>
      </vt:variant>
      <vt:variant>
        <vt:i4>434</vt:i4>
      </vt:variant>
      <vt:variant>
        <vt:i4>0</vt:i4>
      </vt:variant>
      <vt:variant>
        <vt:i4>5</vt:i4>
      </vt:variant>
      <vt:variant>
        <vt:lpwstr/>
      </vt:variant>
      <vt:variant>
        <vt:lpwstr>_Toc469990415</vt:lpwstr>
      </vt:variant>
      <vt:variant>
        <vt:i4>1638448</vt:i4>
      </vt:variant>
      <vt:variant>
        <vt:i4>428</vt:i4>
      </vt:variant>
      <vt:variant>
        <vt:i4>0</vt:i4>
      </vt:variant>
      <vt:variant>
        <vt:i4>5</vt:i4>
      </vt:variant>
      <vt:variant>
        <vt:lpwstr/>
      </vt:variant>
      <vt:variant>
        <vt:lpwstr>_Toc469990414</vt:lpwstr>
      </vt:variant>
      <vt:variant>
        <vt:i4>1638448</vt:i4>
      </vt:variant>
      <vt:variant>
        <vt:i4>422</vt:i4>
      </vt:variant>
      <vt:variant>
        <vt:i4>0</vt:i4>
      </vt:variant>
      <vt:variant>
        <vt:i4>5</vt:i4>
      </vt:variant>
      <vt:variant>
        <vt:lpwstr/>
      </vt:variant>
      <vt:variant>
        <vt:lpwstr>_Toc469990413</vt:lpwstr>
      </vt:variant>
      <vt:variant>
        <vt:i4>1638448</vt:i4>
      </vt:variant>
      <vt:variant>
        <vt:i4>416</vt:i4>
      </vt:variant>
      <vt:variant>
        <vt:i4>0</vt:i4>
      </vt:variant>
      <vt:variant>
        <vt:i4>5</vt:i4>
      </vt:variant>
      <vt:variant>
        <vt:lpwstr/>
      </vt:variant>
      <vt:variant>
        <vt:lpwstr>_Toc469990412</vt:lpwstr>
      </vt:variant>
      <vt:variant>
        <vt:i4>1638448</vt:i4>
      </vt:variant>
      <vt:variant>
        <vt:i4>410</vt:i4>
      </vt:variant>
      <vt:variant>
        <vt:i4>0</vt:i4>
      </vt:variant>
      <vt:variant>
        <vt:i4>5</vt:i4>
      </vt:variant>
      <vt:variant>
        <vt:lpwstr/>
      </vt:variant>
      <vt:variant>
        <vt:lpwstr>_Toc469990411</vt:lpwstr>
      </vt:variant>
      <vt:variant>
        <vt:i4>1638448</vt:i4>
      </vt:variant>
      <vt:variant>
        <vt:i4>404</vt:i4>
      </vt:variant>
      <vt:variant>
        <vt:i4>0</vt:i4>
      </vt:variant>
      <vt:variant>
        <vt:i4>5</vt:i4>
      </vt:variant>
      <vt:variant>
        <vt:lpwstr/>
      </vt:variant>
      <vt:variant>
        <vt:lpwstr>_Toc469990410</vt:lpwstr>
      </vt:variant>
      <vt:variant>
        <vt:i4>1572912</vt:i4>
      </vt:variant>
      <vt:variant>
        <vt:i4>398</vt:i4>
      </vt:variant>
      <vt:variant>
        <vt:i4>0</vt:i4>
      </vt:variant>
      <vt:variant>
        <vt:i4>5</vt:i4>
      </vt:variant>
      <vt:variant>
        <vt:lpwstr/>
      </vt:variant>
      <vt:variant>
        <vt:lpwstr>_Toc469990409</vt:lpwstr>
      </vt:variant>
      <vt:variant>
        <vt:i4>1572912</vt:i4>
      </vt:variant>
      <vt:variant>
        <vt:i4>392</vt:i4>
      </vt:variant>
      <vt:variant>
        <vt:i4>0</vt:i4>
      </vt:variant>
      <vt:variant>
        <vt:i4>5</vt:i4>
      </vt:variant>
      <vt:variant>
        <vt:lpwstr/>
      </vt:variant>
      <vt:variant>
        <vt:lpwstr>_Toc469990408</vt:lpwstr>
      </vt:variant>
      <vt:variant>
        <vt:i4>1572912</vt:i4>
      </vt:variant>
      <vt:variant>
        <vt:i4>386</vt:i4>
      </vt:variant>
      <vt:variant>
        <vt:i4>0</vt:i4>
      </vt:variant>
      <vt:variant>
        <vt:i4>5</vt:i4>
      </vt:variant>
      <vt:variant>
        <vt:lpwstr/>
      </vt:variant>
      <vt:variant>
        <vt:lpwstr>_Toc469990407</vt:lpwstr>
      </vt:variant>
      <vt:variant>
        <vt:i4>1572912</vt:i4>
      </vt:variant>
      <vt:variant>
        <vt:i4>380</vt:i4>
      </vt:variant>
      <vt:variant>
        <vt:i4>0</vt:i4>
      </vt:variant>
      <vt:variant>
        <vt:i4>5</vt:i4>
      </vt:variant>
      <vt:variant>
        <vt:lpwstr/>
      </vt:variant>
      <vt:variant>
        <vt:lpwstr>_Toc469990406</vt:lpwstr>
      </vt:variant>
      <vt:variant>
        <vt:i4>1572912</vt:i4>
      </vt:variant>
      <vt:variant>
        <vt:i4>374</vt:i4>
      </vt:variant>
      <vt:variant>
        <vt:i4>0</vt:i4>
      </vt:variant>
      <vt:variant>
        <vt:i4>5</vt:i4>
      </vt:variant>
      <vt:variant>
        <vt:lpwstr/>
      </vt:variant>
      <vt:variant>
        <vt:lpwstr>_Toc469990405</vt:lpwstr>
      </vt:variant>
      <vt:variant>
        <vt:i4>1572912</vt:i4>
      </vt:variant>
      <vt:variant>
        <vt:i4>368</vt:i4>
      </vt:variant>
      <vt:variant>
        <vt:i4>0</vt:i4>
      </vt:variant>
      <vt:variant>
        <vt:i4>5</vt:i4>
      </vt:variant>
      <vt:variant>
        <vt:lpwstr/>
      </vt:variant>
      <vt:variant>
        <vt:lpwstr>_Toc469990404</vt:lpwstr>
      </vt:variant>
      <vt:variant>
        <vt:i4>1572912</vt:i4>
      </vt:variant>
      <vt:variant>
        <vt:i4>362</vt:i4>
      </vt:variant>
      <vt:variant>
        <vt:i4>0</vt:i4>
      </vt:variant>
      <vt:variant>
        <vt:i4>5</vt:i4>
      </vt:variant>
      <vt:variant>
        <vt:lpwstr/>
      </vt:variant>
      <vt:variant>
        <vt:lpwstr>_Toc469990403</vt:lpwstr>
      </vt:variant>
      <vt:variant>
        <vt:i4>1572912</vt:i4>
      </vt:variant>
      <vt:variant>
        <vt:i4>356</vt:i4>
      </vt:variant>
      <vt:variant>
        <vt:i4>0</vt:i4>
      </vt:variant>
      <vt:variant>
        <vt:i4>5</vt:i4>
      </vt:variant>
      <vt:variant>
        <vt:lpwstr/>
      </vt:variant>
      <vt:variant>
        <vt:lpwstr>_Toc469990402</vt:lpwstr>
      </vt:variant>
      <vt:variant>
        <vt:i4>1572912</vt:i4>
      </vt:variant>
      <vt:variant>
        <vt:i4>350</vt:i4>
      </vt:variant>
      <vt:variant>
        <vt:i4>0</vt:i4>
      </vt:variant>
      <vt:variant>
        <vt:i4>5</vt:i4>
      </vt:variant>
      <vt:variant>
        <vt:lpwstr/>
      </vt:variant>
      <vt:variant>
        <vt:lpwstr>_Toc469990401</vt:lpwstr>
      </vt:variant>
      <vt:variant>
        <vt:i4>1572912</vt:i4>
      </vt:variant>
      <vt:variant>
        <vt:i4>344</vt:i4>
      </vt:variant>
      <vt:variant>
        <vt:i4>0</vt:i4>
      </vt:variant>
      <vt:variant>
        <vt:i4>5</vt:i4>
      </vt:variant>
      <vt:variant>
        <vt:lpwstr/>
      </vt:variant>
      <vt:variant>
        <vt:lpwstr>_Toc469990400</vt:lpwstr>
      </vt:variant>
      <vt:variant>
        <vt:i4>1114167</vt:i4>
      </vt:variant>
      <vt:variant>
        <vt:i4>338</vt:i4>
      </vt:variant>
      <vt:variant>
        <vt:i4>0</vt:i4>
      </vt:variant>
      <vt:variant>
        <vt:i4>5</vt:i4>
      </vt:variant>
      <vt:variant>
        <vt:lpwstr/>
      </vt:variant>
      <vt:variant>
        <vt:lpwstr>_Toc469990399</vt:lpwstr>
      </vt:variant>
      <vt:variant>
        <vt:i4>1114167</vt:i4>
      </vt:variant>
      <vt:variant>
        <vt:i4>332</vt:i4>
      </vt:variant>
      <vt:variant>
        <vt:i4>0</vt:i4>
      </vt:variant>
      <vt:variant>
        <vt:i4>5</vt:i4>
      </vt:variant>
      <vt:variant>
        <vt:lpwstr/>
      </vt:variant>
      <vt:variant>
        <vt:lpwstr>_Toc469990398</vt:lpwstr>
      </vt:variant>
      <vt:variant>
        <vt:i4>1114167</vt:i4>
      </vt:variant>
      <vt:variant>
        <vt:i4>326</vt:i4>
      </vt:variant>
      <vt:variant>
        <vt:i4>0</vt:i4>
      </vt:variant>
      <vt:variant>
        <vt:i4>5</vt:i4>
      </vt:variant>
      <vt:variant>
        <vt:lpwstr/>
      </vt:variant>
      <vt:variant>
        <vt:lpwstr>_Toc469990397</vt:lpwstr>
      </vt:variant>
      <vt:variant>
        <vt:i4>1114167</vt:i4>
      </vt:variant>
      <vt:variant>
        <vt:i4>320</vt:i4>
      </vt:variant>
      <vt:variant>
        <vt:i4>0</vt:i4>
      </vt:variant>
      <vt:variant>
        <vt:i4>5</vt:i4>
      </vt:variant>
      <vt:variant>
        <vt:lpwstr/>
      </vt:variant>
      <vt:variant>
        <vt:lpwstr>_Toc469990396</vt:lpwstr>
      </vt:variant>
      <vt:variant>
        <vt:i4>1114167</vt:i4>
      </vt:variant>
      <vt:variant>
        <vt:i4>314</vt:i4>
      </vt:variant>
      <vt:variant>
        <vt:i4>0</vt:i4>
      </vt:variant>
      <vt:variant>
        <vt:i4>5</vt:i4>
      </vt:variant>
      <vt:variant>
        <vt:lpwstr/>
      </vt:variant>
      <vt:variant>
        <vt:lpwstr>_Toc469990395</vt:lpwstr>
      </vt:variant>
      <vt:variant>
        <vt:i4>1114167</vt:i4>
      </vt:variant>
      <vt:variant>
        <vt:i4>308</vt:i4>
      </vt:variant>
      <vt:variant>
        <vt:i4>0</vt:i4>
      </vt:variant>
      <vt:variant>
        <vt:i4>5</vt:i4>
      </vt:variant>
      <vt:variant>
        <vt:lpwstr/>
      </vt:variant>
      <vt:variant>
        <vt:lpwstr>_Toc469990394</vt:lpwstr>
      </vt:variant>
      <vt:variant>
        <vt:i4>1114167</vt:i4>
      </vt:variant>
      <vt:variant>
        <vt:i4>302</vt:i4>
      </vt:variant>
      <vt:variant>
        <vt:i4>0</vt:i4>
      </vt:variant>
      <vt:variant>
        <vt:i4>5</vt:i4>
      </vt:variant>
      <vt:variant>
        <vt:lpwstr/>
      </vt:variant>
      <vt:variant>
        <vt:lpwstr>_Toc469990393</vt:lpwstr>
      </vt:variant>
      <vt:variant>
        <vt:i4>1114167</vt:i4>
      </vt:variant>
      <vt:variant>
        <vt:i4>296</vt:i4>
      </vt:variant>
      <vt:variant>
        <vt:i4>0</vt:i4>
      </vt:variant>
      <vt:variant>
        <vt:i4>5</vt:i4>
      </vt:variant>
      <vt:variant>
        <vt:lpwstr/>
      </vt:variant>
      <vt:variant>
        <vt:lpwstr>_Toc469990392</vt:lpwstr>
      </vt:variant>
      <vt:variant>
        <vt:i4>1114167</vt:i4>
      </vt:variant>
      <vt:variant>
        <vt:i4>290</vt:i4>
      </vt:variant>
      <vt:variant>
        <vt:i4>0</vt:i4>
      </vt:variant>
      <vt:variant>
        <vt:i4>5</vt:i4>
      </vt:variant>
      <vt:variant>
        <vt:lpwstr/>
      </vt:variant>
      <vt:variant>
        <vt:lpwstr>_Toc469990391</vt:lpwstr>
      </vt:variant>
      <vt:variant>
        <vt:i4>1114167</vt:i4>
      </vt:variant>
      <vt:variant>
        <vt:i4>284</vt:i4>
      </vt:variant>
      <vt:variant>
        <vt:i4>0</vt:i4>
      </vt:variant>
      <vt:variant>
        <vt:i4>5</vt:i4>
      </vt:variant>
      <vt:variant>
        <vt:lpwstr/>
      </vt:variant>
      <vt:variant>
        <vt:lpwstr>_Toc469990390</vt:lpwstr>
      </vt:variant>
      <vt:variant>
        <vt:i4>1048631</vt:i4>
      </vt:variant>
      <vt:variant>
        <vt:i4>278</vt:i4>
      </vt:variant>
      <vt:variant>
        <vt:i4>0</vt:i4>
      </vt:variant>
      <vt:variant>
        <vt:i4>5</vt:i4>
      </vt:variant>
      <vt:variant>
        <vt:lpwstr/>
      </vt:variant>
      <vt:variant>
        <vt:lpwstr>_Toc469990389</vt:lpwstr>
      </vt:variant>
      <vt:variant>
        <vt:i4>1048631</vt:i4>
      </vt:variant>
      <vt:variant>
        <vt:i4>272</vt:i4>
      </vt:variant>
      <vt:variant>
        <vt:i4>0</vt:i4>
      </vt:variant>
      <vt:variant>
        <vt:i4>5</vt:i4>
      </vt:variant>
      <vt:variant>
        <vt:lpwstr/>
      </vt:variant>
      <vt:variant>
        <vt:lpwstr>_Toc469990388</vt:lpwstr>
      </vt:variant>
      <vt:variant>
        <vt:i4>1048631</vt:i4>
      </vt:variant>
      <vt:variant>
        <vt:i4>266</vt:i4>
      </vt:variant>
      <vt:variant>
        <vt:i4>0</vt:i4>
      </vt:variant>
      <vt:variant>
        <vt:i4>5</vt:i4>
      </vt:variant>
      <vt:variant>
        <vt:lpwstr/>
      </vt:variant>
      <vt:variant>
        <vt:lpwstr>_Toc469990387</vt:lpwstr>
      </vt:variant>
      <vt:variant>
        <vt:i4>1048631</vt:i4>
      </vt:variant>
      <vt:variant>
        <vt:i4>260</vt:i4>
      </vt:variant>
      <vt:variant>
        <vt:i4>0</vt:i4>
      </vt:variant>
      <vt:variant>
        <vt:i4>5</vt:i4>
      </vt:variant>
      <vt:variant>
        <vt:lpwstr/>
      </vt:variant>
      <vt:variant>
        <vt:lpwstr>_Toc469990386</vt:lpwstr>
      </vt:variant>
      <vt:variant>
        <vt:i4>1048631</vt:i4>
      </vt:variant>
      <vt:variant>
        <vt:i4>254</vt:i4>
      </vt:variant>
      <vt:variant>
        <vt:i4>0</vt:i4>
      </vt:variant>
      <vt:variant>
        <vt:i4>5</vt:i4>
      </vt:variant>
      <vt:variant>
        <vt:lpwstr/>
      </vt:variant>
      <vt:variant>
        <vt:lpwstr>_Toc469990385</vt:lpwstr>
      </vt:variant>
      <vt:variant>
        <vt:i4>1048631</vt:i4>
      </vt:variant>
      <vt:variant>
        <vt:i4>248</vt:i4>
      </vt:variant>
      <vt:variant>
        <vt:i4>0</vt:i4>
      </vt:variant>
      <vt:variant>
        <vt:i4>5</vt:i4>
      </vt:variant>
      <vt:variant>
        <vt:lpwstr/>
      </vt:variant>
      <vt:variant>
        <vt:lpwstr>_Toc469990384</vt:lpwstr>
      </vt:variant>
      <vt:variant>
        <vt:i4>1048631</vt:i4>
      </vt:variant>
      <vt:variant>
        <vt:i4>242</vt:i4>
      </vt:variant>
      <vt:variant>
        <vt:i4>0</vt:i4>
      </vt:variant>
      <vt:variant>
        <vt:i4>5</vt:i4>
      </vt:variant>
      <vt:variant>
        <vt:lpwstr/>
      </vt:variant>
      <vt:variant>
        <vt:lpwstr>_Toc469990383</vt:lpwstr>
      </vt:variant>
      <vt:variant>
        <vt:i4>1048631</vt:i4>
      </vt:variant>
      <vt:variant>
        <vt:i4>236</vt:i4>
      </vt:variant>
      <vt:variant>
        <vt:i4>0</vt:i4>
      </vt:variant>
      <vt:variant>
        <vt:i4>5</vt:i4>
      </vt:variant>
      <vt:variant>
        <vt:lpwstr/>
      </vt:variant>
      <vt:variant>
        <vt:lpwstr>_Toc469990382</vt:lpwstr>
      </vt:variant>
      <vt:variant>
        <vt:i4>1048631</vt:i4>
      </vt:variant>
      <vt:variant>
        <vt:i4>230</vt:i4>
      </vt:variant>
      <vt:variant>
        <vt:i4>0</vt:i4>
      </vt:variant>
      <vt:variant>
        <vt:i4>5</vt:i4>
      </vt:variant>
      <vt:variant>
        <vt:lpwstr/>
      </vt:variant>
      <vt:variant>
        <vt:lpwstr>_Toc469990381</vt:lpwstr>
      </vt:variant>
      <vt:variant>
        <vt:i4>1048631</vt:i4>
      </vt:variant>
      <vt:variant>
        <vt:i4>224</vt:i4>
      </vt:variant>
      <vt:variant>
        <vt:i4>0</vt:i4>
      </vt:variant>
      <vt:variant>
        <vt:i4>5</vt:i4>
      </vt:variant>
      <vt:variant>
        <vt:lpwstr/>
      </vt:variant>
      <vt:variant>
        <vt:lpwstr>_Toc469990380</vt:lpwstr>
      </vt:variant>
      <vt:variant>
        <vt:i4>2031671</vt:i4>
      </vt:variant>
      <vt:variant>
        <vt:i4>218</vt:i4>
      </vt:variant>
      <vt:variant>
        <vt:i4>0</vt:i4>
      </vt:variant>
      <vt:variant>
        <vt:i4>5</vt:i4>
      </vt:variant>
      <vt:variant>
        <vt:lpwstr/>
      </vt:variant>
      <vt:variant>
        <vt:lpwstr>_Toc469990379</vt:lpwstr>
      </vt:variant>
      <vt:variant>
        <vt:i4>2031671</vt:i4>
      </vt:variant>
      <vt:variant>
        <vt:i4>212</vt:i4>
      </vt:variant>
      <vt:variant>
        <vt:i4>0</vt:i4>
      </vt:variant>
      <vt:variant>
        <vt:i4>5</vt:i4>
      </vt:variant>
      <vt:variant>
        <vt:lpwstr/>
      </vt:variant>
      <vt:variant>
        <vt:lpwstr>_Toc469990378</vt:lpwstr>
      </vt:variant>
      <vt:variant>
        <vt:i4>2031671</vt:i4>
      </vt:variant>
      <vt:variant>
        <vt:i4>206</vt:i4>
      </vt:variant>
      <vt:variant>
        <vt:i4>0</vt:i4>
      </vt:variant>
      <vt:variant>
        <vt:i4>5</vt:i4>
      </vt:variant>
      <vt:variant>
        <vt:lpwstr/>
      </vt:variant>
      <vt:variant>
        <vt:lpwstr>_Toc469990377</vt:lpwstr>
      </vt:variant>
      <vt:variant>
        <vt:i4>2031671</vt:i4>
      </vt:variant>
      <vt:variant>
        <vt:i4>200</vt:i4>
      </vt:variant>
      <vt:variant>
        <vt:i4>0</vt:i4>
      </vt:variant>
      <vt:variant>
        <vt:i4>5</vt:i4>
      </vt:variant>
      <vt:variant>
        <vt:lpwstr/>
      </vt:variant>
      <vt:variant>
        <vt:lpwstr>_Toc469990376</vt:lpwstr>
      </vt:variant>
      <vt:variant>
        <vt:i4>2031671</vt:i4>
      </vt:variant>
      <vt:variant>
        <vt:i4>194</vt:i4>
      </vt:variant>
      <vt:variant>
        <vt:i4>0</vt:i4>
      </vt:variant>
      <vt:variant>
        <vt:i4>5</vt:i4>
      </vt:variant>
      <vt:variant>
        <vt:lpwstr/>
      </vt:variant>
      <vt:variant>
        <vt:lpwstr>_Toc469990375</vt:lpwstr>
      </vt:variant>
      <vt:variant>
        <vt:i4>2031671</vt:i4>
      </vt:variant>
      <vt:variant>
        <vt:i4>188</vt:i4>
      </vt:variant>
      <vt:variant>
        <vt:i4>0</vt:i4>
      </vt:variant>
      <vt:variant>
        <vt:i4>5</vt:i4>
      </vt:variant>
      <vt:variant>
        <vt:lpwstr/>
      </vt:variant>
      <vt:variant>
        <vt:lpwstr>_Toc469990374</vt:lpwstr>
      </vt:variant>
      <vt:variant>
        <vt:i4>2031671</vt:i4>
      </vt:variant>
      <vt:variant>
        <vt:i4>182</vt:i4>
      </vt:variant>
      <vt:variant>
        <vt:i4>0</vt:i4>
      </vt:variant>
      <vt:variant>
        <vt:i4>5</vt:i4>
      </vt:variant>
      <vt:variant>
        <vt:lpwstr/>
      </vt:variant>
      <vt:variant>
        <vt:lpwstr>_Toc469990373</vt:lpwstr>
      </vt:variant>
      <vt:variant>
        <vt:i4>2031671</vt:i4>
      </vt:variant>
      <vt:variant>
        <vt:i4>176</vt:i4>
      </vt:variant>
      <vt:variant>
        <vt:i4>0</vt:i4>
      </vt:variant>
      <vt:variant>
        <vt:i4>5</vt:i4>
      </vt:variant>
      <vt:variant>
        <vt:lpwstr/>
      </vt:variant>
      <vt:variant>
        <vt:lpwstr>_Toc469990372</vt:lpwstr>
      </vt:variant>
      <vt:variant>
        <vt:i4>2031671</vt:i4>
      </vt:variant>
      <vt:variant>
        <vt:i4>170</vt:i4>
      </vt:variant>
      <vt:variant>
        <vt:i4>0</vt:i4>
      </vt:variant>
      <vt:variant>
        <vt:i4>5</vt:i4>
      </vt:variant>
      <vt:variant>
        <vt:lpwstr/>
      </vt:variant>
      <vt:variant>
        <vt:lpwstr>_Toc469990371</vt:lpwstr>
      </vt:variant>
      <vt:variant>
        <vt:i4>2031671</vt:i4>
      </vt:variant>
      <vt:variant>
        <vt:i4>164</vt:i4>
      </vt:variant>
      <vt:variant>
        <vt:i4>0</vt:i4>
      </vt:variant>
      <vt:variant>
        <vt:i4>5</vt:i4>
      </vt:variant>
      <vt:variant>
        <vt:lpwstr/>
      </vt:variant>
      <vt:variant>
        <vt:lpwstr>_Toc469990370</vt:lpwstr>
      </vt:variant>
      <vt:variant>
        <vt:i4>1966135</vt:i4>
      </vt:variant>
      <vt:variant>
        <vt:i4>158</vt:i4>
      </vt:variant>
      <vt:variant>
        <vt:i4>0</vt:i4>
      </vt:variant>
      <vt:variant>
        <vt:i4>5</vt:i4>
      </vt:variant>
      <vt:variant>
        <vt:lpwstr/>
      </vt:variant>
      <vt:variant>
        <vt:lpwstr>_Toc469990369</vt:lpwstr>
      </vt:variant>
      <vt:variant>
        <vt:i4>1966135</vt:i4>
      </vt:variant>
      <vt:variant>
        <vt:i4>152</vt:i4>
      </vt:variant>
      <vt:variant>
        <vt:i4>0</vt:i4>
      </vt:variant>
      <vt:variant>
        <vt:i4>5</vt:i4>
      </vt:variant>
      <vt:variant>
        <vt:lpwstr/>
      </vt:variant>
      <vt:variant>
        <vt:lpwstr>_Toc469990368</vt:lpwstr>
      </vt:variant>
      <vt:variant>
        <vt:i4>1966135</vt:i4>
      </vt:variant>
      <vt:variant>
        <vt:i4>146</vt:i4>
      </vt:variant>
      <vt:variant>
        <vt:i4>0</vt:i4>
      </vt:variant>
      <vt:variant>
        <vt:i4>5</vt:i4>
      </vt:variant>
      <vt:variant>
        <vt:lpwstr/>
      </vt:variant>
      <vt:variant>
        <vt:lpwstr>_Toc469990367</vt:lpwstr>
      </vt:variant>
      <vt:variant>
        <vt:i4>1966135</vt:i4>
      </vt:variant>
      <vt:variant>
        <vt:i4>140</vt:i4>
      </vt:variant>
      <vt:variant>
        <vt:i4>0</vt:i4>
      </vt:variant>
      <vt:variant>
        <vt:i4>5</vt:i4>
      </vt:variant>
      <vt:variant>
        <vt:lpwstr/>
      </vt:variant>
      <vt:variant>
        <vt:lpwstr>_Toc469990366</vt:lpwstr>
      </vt:variant>
      <vt:variant>
        <vt:i4>1966135</vt:i4>
      </vt:variant>
      <vt:variant>
        <vt:i4>134</vt:i4>
      </vt:variant>
      <vt:variant>
        <vt:i4>0</vt:i4>
      </vt:variant>
      <vt:variant>
        <vt:i4>5</vt:i4>
      </vt:variant>
      <vt:variant>
        <vt:lpwstr/>
      </vt:variant>
      <vt:variant>
        <vt:lpwstr>_Toc469990365</vt:lpwstr>
      </vt:variant>
      <vt:variant>
        <vt:i4>1966135</vt:i4>
      </vt:variant>
      <vt:variant>
        <vt:i4>128</vt:i4>
      </vt:variant>
      <vt:variant>
        <vt:i4>0</vt:i4>
      </vt:variant>
      <vt:variant>
        <vt:i4>5</vt:i4>
      </vt:variant>
      <vt:variant>
        <vt:lpwstr/>
      </vt:variant>
      <vt:variant>
        <vt:lpwstr>_Toc469990364</vt:lpwstr>
      </vt:variant>
      <vt:variant>
        <vt:i4>1966135</vt:i4>
      </vt:variant>
      <vt:variant>
        <vt:i4>122</vt:i4>
      </vt:variant>
      <vt:variant>
        <vt:i4>0</vt:i4>
      </vt:variant>
      <vt:variant>
        <vt:i4>5</vt:i4>
      </vt:variant>
      <vt:variant>
        <vt:lpwstr/>
      </vt:variant>
      <vt:variant>
        <vt:lpwstr>_Toc469990363</vt:lpwstr>
      </vt:variant>
      <vt:variant>
        <vt:i4>1966135</vt:i4>
      </vt:variant>
      <vt:variant>
        <vt:i4>116</vt:i4>
      </vt:variant>
      <vt:variant>
        <vt:i4>0</vt:i4>
      </vt:variant>
      <vt:variant>
        <vt:i4>5</vt:i4>
      </vt:variant>
      <vt:variant>
        <vt:lpwstr/>
      </vt:variant>
      <vt:variant>
        <vt:lpwstr>_Toc469990362</vt:lpwstr>
      </vt:variant>
      <vt:variant>
        <vt:i4>1966135</vt:i4>
      </vt:variant>
      <vt:variant>
        <vt:i4>110</vt:i4>
      </vt:variant>
      <vt:variant>
        <vt:i4>0</vt:i4>
      </vt:variant>
      <vt:variant>
        <vt:i4>5</vt:i4>
      </vt:variant>
      <vt:variant>
        <vt:lpwstr/>
      </vt:variant>
      <vt:variant>
        <vt:lpwstr>_Toc469990361</vt:lpwstr>
      </vt:variant>
      <vt:variant>
        <vt:i4>1966135</vt:i4>
      </vt:variant>
      <vt:variant>
        <vt:i4>104</vt:i4>
      </vt:variant>
      <vt:variant>
        <vt:i4>0</vt:i4>
      </vt:variant>
      <vt:variant>
        <vt:i4>5</vt:i4>
      </vt:variant>
      <vt:variant>
        <vt:lpwstr/>
      </vt:variant>
      <vt:variant>
        <vt:lpwstr>_Toc469990360</vt:lpwstr>
      </vt:variant>
      <vt:variant>
        <vt:i4>1900599</vt:i4>
      </vt:variant>
      <vt:variant>
        <vt:i4>98</vt:i4>
      </vt:variant>
      <vt:variant>
        <vt:i4>0</vt:i4>
      </vt:variant>
      <vt:variant>
        <vt:i4>5</vt:i4>
      </vt:variant>
      <vt:variant>
        <vt:lpwstr/>
      </vt:variant>
      <vt:variant>
        <vt:lpwstr>_Toc469990359</vt:lpwstr>
      </vt:variant>
      <vt:variant>
        <vt:i4>1900599</vt:i4>
      </vt:variant>
      <vt:variant>
        <vt:i4>92</vt:i4>
      </vt:variant>
      <vt:variant>
        <vt:i4>0</vt:i4>
      </vt:variant>
      <vt:variant>
        <vt:i4>5</vt:i4>
      </vt:variant>
      <vt:variant>
        <vt:lpwstr/>
      </vt:variant>
      <vt:variant>
        <vt:lpwstr>_Toc469990358</vt:lpwstr>
      </vt:variant>
      <vt:variant>
        <vt:i4>1900599</vt:i4>
      </vt:variant>
      <vt:variant>
        <vt:i4>86</vt:i4>
      </vt:variant>
      <vt:variant>
        <vt:i4>0</vt:i4>
      </vt:variant>
      <vt:variant>
        <vt:i4>5</vt:i4>
      </vt:variant>
      <vt:variant>
        <vt:lpwstr/>
      </vt:variant>
      <vt:variant>
        <vt:lpwstr>_Toc469990357</vt:lpwstr>
      </vt:variant>
      <vt:variant>
        <vt:i4>1900599</vt:i4>
      </vt:variant>
      <vt:variant>
        <vt:i4>80</vt:i4>
      </vt:variant>
      <vt:variant>
        <vt:i4>0</vt:i4>
      </vt:variant>
      <vt:variant>
        <vt:i4>5</vt:i4>
      </vt:variant>
      <vt:variant>
        <vt:lpwstr/>
      </vt:variant>
      <vt:variant>
        <vt:lpwstr>_Toc469990356</vt:lpwstr>
      </vt:variant>
      <vt:variant>
        <vt:i4>1900599</vt:i4>
      </vt:variant>
      <vt:variant>
        <vt:i4>74</vt:i4>
      </vt:variant>
      <vt:variant>
        <vt:i4>0</vt:i4>
      </vt:variant>
      <vt:variant>
        <vt:i4>5</vt:i4>
      </vt:variant>
      <vt:variant>
        <vt:lpwstr/>
      </vt:variant>
      <vt:variant>
        <vt:lpwstr>_Toc469990355</vt:lpwstr>
      </vt:variant>
      <vt:variant>
        <vt:i4>1900599</vt:i4>
      </vt:variant>
      <vt:variant>
        <vt:i4>68</vt:i4>
      </vt:variant>
      <vt:variant>
        <vt:i4>0</vt:i4>
      </vt:variant>
      <vt:variant>
        <vt:i4>5</vt:i4>
      </vt:variant>
      <vt:variant>
        <vt:lpwstr/>
      </vt:variant>
      <vt:variant>
        <vt:lpwstr>_Toc469990354</vt:lpwstr>
      </vt:variant>
      <vt:variant>
        <vt:i4>1900599</vt:i4>
      </vt:variant>
      <vt:variant>
        <vt:i4>62</vt:i4>
      </vt:variant>
      <vt:variant>
        <vt:i4>0</vt:i4>
      </vt:variant>
      <vt:variant>
        <vt:i4>5</vt:i4>
      </vt:variant>
      <vt:variant>
        <vt:lpwstr/>
      </vt:variant>
      <vt:variant>
        <vt:lpwstr>_Toc469990353</vt:lpwstr>
      </vt:variant>
      <vt:variant>
        <vt:i4>1900599</vt:i4>
      </vt:variant>
      <vt:variant>
        <vt:i4>56</vt:i4>
      </vt:variant>
      <vt:variant>
        <vt:i4>0</vt:i4>
      </vt:variant>
      <vt:variant>
        <vt:i4>5</vt:i4>
      </vt:variant>
      <vt:variant>
        <vt:lpwstr/>
      </vt:variant>
      <vt:variant>
        <vt:lpwstr>_Toc469990352</vt:lpwstr>
      </vt:variant>
      <vt:variant>
        <vt:i4>1900599</vt:i4>
      </vt:variant>
      <vt:variant>
        <vt:i4>50</vt:i4>
      </vt:variant>
      <vt:variant>
        <vt:i4>0</vt:i4>
      </vt:variant>
      <vt:variant>
        <vt:i4>5</vt:i4>
      </vt:variant>
      <vt:variant>
        <vt:lpwstr/>
      </vt:variant>
      <vt:variant>
        <vt:lpwstr>_Toc469990351</vt:lpwstr>
      </vt:variant>
      <vt:variant>
        <vt:i4>1900599</vt:i4>
      </vt:variant>
      <vt:variant>
        <vt:i4>44</vt:i4>
      </vt:variant>
      <vt:variant>
        <vt:i4>0</vt:i4>
      </vt:variant>
      <vt:variant>
        <vt:i4>5</vt:i4>
      </vt:variant>
      <vt:variant>
        <vt:lpwstr/>
      </vt:variant>
      <vt:variant>
        <vt:lpwstr>_Toc469990350</vt:lpwstr>
      </vt:variant>
      <vt:variant>
        <vt:i4>1835063</vt:i4>
      </vt:variant>
      <vt:variant>
        <vt:i4>38</vt:i4>
      </vt:variant>
      <vt:variant>
        <vt:i4>0</vt:i4>
      </vt:variant>
      <vt:variant>
        <vt:i4>5</vt:i4>
      </vt:variant>
      <vt:variant>
        <vt:lpwstr/>
      </vt:variant>
      <vt:variant>
        <vt:lpwstr>_Toc469990349</vt:lpwstr>
      </vt:variant>
      <vt:variant>
        <vt:i4>1835063</vt:i4>
      </vt:variant>
      <vt:variant>
        <vt:i4>32</vt:i4>
      </vt:variant>
      <vt:variant>
        <vt:i4>0</vt:i4>
      </vt:variant>
      <vt:variant>
        <vt:i4>5</vt:i4>
      </vt:variant>
      <vt:variant>
        <vt:lpwstr/>
      </vt:variant>
      <vt:variant>
        <vt:lpwstr>_Toc469990348</vt:lpwstr>
      </vt:variant>
      <vt:variant>
        <vt:i4>1835063</vt:i4>
      </vt:variant>
      <vt:variant>
        <vt:i4>26</vt:i4>
      </vt:variant>
      <vt:variant>
        <vt:i4>0</vt:i4>
      </vt:variant>
      <vt:variant>
        <vt:i4>5</vt:i4>
      </vt:variant>
      <vt:variant>
        <vt:lpwstr/>
      </vt:variant>
      <vt:variant>
        <vt:lpwstr>_Toc469990347</vt:lpwstr>
      </vt:variant>
      <vt:variant>
        <vt:i4>1835063</vt:i4>
      </vt:variant>
      <vt:variant>
        <vt:i4>20</vt:i4>
      </vt:variant>
      <vt:variant>
        <vt:i4>0</vt:i4>
      </vt:variant>
      <vt:variant>
        <vt:i4>5</vt:i4>
      </vt:variant>
      <vt:variant>
        <vt:lpwstr/>
      </vt:variant>
      <vt:variant>
        <vt:lpwstr>_Toc469990346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Decision Business User Information Documents</dc:title>
  <dc:subject>Instructional Design Specifications</dc:subject>
  <dc:creator>Emmanuel Bauwens</dc:creator>
  <cp:lastModifiedBy>BEL1845</cp:lastModifiedBy>
  <cp:revision>25</cp:revision>
  <cp:lastPrinted>2010-08-20T08:44:00Z</cp:lastPrinted>
  <dcterms:created xsi:type="dcterms:W3CDTF">2018-06-01T12:38:00Z</dcterms:created>
  <dcterms:modified xsi:type="dcterms:W3CDTF">2019-02-07T10:55:00Z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amework">
    <vt:lpwstr>Contract Reference</vt:lpwstr>
  </property>
  <property fmtid="{D5CDD505-2E9C-101B-9397-08002B2CF9AE}" pid="3" name="Status">
    <vt:lpwstr>SfA</vt:lpwstr>
  </property>
  <property fmtid="{D5CDD505-2E9C-101B-9397-08002B2CF9AE}" pid="4" name="Reference">
    <vt:lpwstr>CUSTDEV3-SC06-IDS-InstructionalDesignSpecifications</vt:lpwstr>
  </property>
  <property fmtid="{D5CDD505-2E9C-101B-9397-08002B2CF9AE}" pid="5" name="Version">
    <vt:lpwstr>4.00</vt:lpwstr>
  </property>
  <property fmtid="{D5CDD505-2E9C-101B-9397-08002B2CF9AE}" pid="6" name="Release Date">
    <vt:lpwstr>13/11/2018</vt:lpwstr>
  </property>
  <property fmtid="{D5CDD505-2E9C-101B-9397-08002B2CF9AE}" pid="7" name="Owner">
    <vt:lpwstr>DG TAXUD</vt:lpwstr>
  </property>
  <property fmtid="{D5CDD505-2E9C-101B-9397-08002B2CF9AE}" pid="8" name="ContentTypeId">
    <vt:lpwstr>0x010100673C5A3B01F9B147ACF7DB46E69D3A87</vt:lpwstr>
  </property>
</Properties>
</file>