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E8D15D0" w:rsidR="005A195B" w:rsidRPr="00DA38BA" w:rsidRDefault="00717A2F" w:rsidP="00D1297B">
      <w:pPr>
        <w:pStyle w:val="Heading1"/>
      </w:pPr>
      <w:r>
        <w:t>Δικαίωμα προσφυγής</w:t>
      </w:r>
    </w:p>
    <w:p w14:paraId="6FFF08CE" w14:textId="646DFD9B" w:rsidR="005F0D16" w:rsidRDefault="00D1297B" w:rsidP="005F0D16">
      <w:pPr>
        <w:pStyle w:val="Heading2"/>
      </w:pPr>
      <w:r>
        <w:t>Ενδιαφερόμενοι φορείς που εμπλέκονται στη διαδικασία</w:t>
      </w:r>
    </w:p>
    <w:p w14:paraId="2601C504" w14:textId="617ACC89" w:rsidR="005F0D16" w:rsidRDefault="005F0D16" w:rsidP="00E85291">
      <w:pPr>
        <w:pStyle w:val="ListParagraph"/>
        <w:numPr>
          <w:ilvl w:val="0"/>
          <w:numId w:val="42"/>
        </w:numPr>
        <w:ind w:left="568" w:hanging="284"/>
        <w:contextualSpacing w:val="0"/>
      </w:pPr>
      <w:r>
        <w:t>Συναλλασσόμενος·</w:t>
      </w:r>
    </w:p>
    <w:p w14:paraId="2CEFFFCC" w14:textId="010AB835" w:rsidR="005F0D16" w:rsidRDefault="005F0D16" w:rsidP="00E85291">
      <w:pPr>
        <w:pStyle w:val="ListParagraph"/>
        <w:numPr>
          <w:ilvl w:val="0"/>
          <w:numId w:val="42"/>
        </w:numPr>
        <w:ind w:left="568" w:hanging="284"/>
        <w:contextualSpacing w:val="0"/>
      </w:pPr>
      <w:r>
        <w:t>Αρμόδια για τη λήψη απόφασης τελωνειακή αρχή·</w:t>
      </w:r>
    </w:p>
    <w:p w14:paraId="0E350AAE" w14:textId="09D45D57" w:rsidR="005F0D16" w:rsidRDefault="00922752" w:rsidP="00E85291">
      <w:pPr>
        <w:pStyle w:val="ListParagraph"/>
        <w:numPr>
          <w:ilvl w:val="0"/>
          <w:numId w:val="42"/>
        </w:numPr>
        <w:ind w:left="568" w:hanging="284"/>
        <w:contextualSpacing w:val="0"/>
      </w:pPr>
      <w:r>
        <w:t>Εμπλεκόμενα κράτη μέλη.</w:t>
      </w:r>
    </w:p>
    <w:p w14:paraId="23E77953" w14:textId="77777777" w:rsidR="005F0D16" w:rsidRDefault="005F0D16" w:rsidP="005F0D16">
      <w:pPr>
        <w:pStyle w:val="Heading2"/>
      </w:pPr>
      <w:r>
        <w:t>Ροή εργασιών</w:t>
      </w:r>
    </w:p>
    <w:p w14:paraId="21B3E7CD" w14:textId="6D2477BD" w:rsidR="00DA38BA" w:rsidRDefault="005F0D16" w:rsidP="005F0D16">
      <w:r>
        <w:t xml:space="preserve">Ο συναλλασσόμενος έχει το δικαίωμα προσφυγής εναντίον οποιασδήποτε απόφασης έχει ληφθεί από τις τελωνειακές αρχές σε σχέση με μια αίτηση ή απόφαση. </w:t>
      </w:r>
    </w:p>
    <w:p w14:paraId="33ECEE4A" w14:textId="0E6099E1" w:rsidR="005F0D16" w:rsidRDefault="005F0D16" w:rsidP="005F0D16">
      <w:r>
        <w:t>Από την υψηλού επιπέδου επισκόπηση της διαδικασίας λήψης τελωνειακών αποφάσεων, η διαδικασία λήψης απόφασης ανήκει στο πρώτο μέρος της διαδικασίας, όπως απεικονίζεται στο </w:t>
      </w:r>
      <w:r>
        <w:fldChar w:fldCharType="begin"/>
      </w:r>
      <w:r>
        <w:instrText xml:space="preserve"> REF _Ref481052234 \h </w:instrText>
      </w:r>
      <w:r>
        <w:fldChar w:fldCharType="separate"/>
      </w:r>
      <w:r w:rsidR="002956DE">
        <w:t>Σχήμα</w:t>
      </w:r>
      <w:r>
        <w:t xml:space="preserve"> </w:t>
      </w:r>
      <w:r>
        <w:rPr>
          <w:noProof/>
        </w:rPr>
        <w:t>1</w:t>
      </w:r>
      <w:r>
        <w:fldChar w:fldCharType="end"/>
      </w:r>
      <w:r>
        <w:t>.</w:t>
      </w:r>
    </w:p>
    <w:p w14:paraId="29CD7D97" w14:textId="4A0291FA" w:rsidR="005C4F29" w:rsidRDefault="00D42B24" w:rsidP="005C4F29">
      <w:pPr>
        <w:keepNext/>
      </w:pPr>
      <w:r>
        <w:object w:dxaOrig="8617" w:dyaOrig="4878" w14:anchorId="6AB67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43.75pt" o:ole="">
            <v:imagedata r:id="rId12" o:title=""/>
          </v:shape>
          <o:OLEObject Type="Embed" ProgID="Visio.Drawing.11" ShapeID="_x0000_i1025" DrawAspect="Content" ObjectID="_1611055914" r:id="rId13"/>
        </w:object>
      </w:r>
    </w:p>
    <w:p w14:paraId="4B57CF04" w14:textId="48522FB3" w:rsidR="005C4F29" w:rsidRDefault="005C4F29" w:rsidP="005C4F29">
      <w:pPr>
        <w:pStyle w:val="Caption"/>
      </w:pPr>
      <w:bookmarkStart w:id="0" w:name="_Ref481052234"/>
      <w:r>
        <w:t>Σχήμα </w:t>
      </w:r>
      <w:fldSimple w:instr=" SEQ Figure \* ARABIC ">
        <w:r>
          <w:rPr>
            <w:noProof/>
          </w:rPr>
          <w:t>1</w:t>
        </w:r>
      </w:fldSimple>
      <w:bookmarkEnd w:id="0"/>
      <w:r>
        <w:t xml:space="preserve"> Διαδικασία λήψης απόφασης, στο πλαίσιο της διαδικασίας λήψης τελωνειακών αποφάσεων</w:t>
      </w:r>
    </w:p>
    <w:p w14:paraId="08424863" w14:textId="77777777" w:rsidR="001563CF" w:rsidRDefault="001563CF" w:rsidP="001563CF">
      <w:pPr>
        <w:keepNext/>
      </w:pPr>
    </w:p>
    <w:p w14:paraId="301C18C9" w14:textId="5B2A3D94" w:rsidR="0076522C" w:rsidRDefault="006B2EB6" w:rsidP="001563CF">
      <w:pPr>
        <w:keepNext/>
      </w:pPr>
      <w:r>
        <w:t xml:space="preserve">Στο </w:t>
      </w:r>
      <w:r>
        <w:fldChar w:fldCharType="begin"/>
      </w:r>
      <w:r>
        <w:instrText xml:space="preserve"> REF _Ref481052607 \h </w:instrText>
      </w:r>
      <w:r>
        <w:fldChar w:fldCharType="separate"/>
      </w:r>
      <w:r w:rsidR="002956DE">
        <w:t>Σχήμα</w:t>
      </w:r>
      <w:r>
        <w:t xml:space="preserve"> </w:t>
      </w:r>
      <w:r>
        <w:rPr>
          <w:noProof/>
        </w:rPr>
        <w:t>2</w:t>
      </w:r>
      <w:r>
        <w:fldChar w:fldCharType="end"/>
      </w:r>
      <w:r>
        <w:t xml:space="preserve"> παρουσιάζεται η υψηλού επιπέδου επισκόπηση της διαδικασίας του δικαιώματος προσφυγής. </w:t>
      </w:r>
    </w:p>
    <w:p w14:paraId="724DDCCA" w14:textId="77777777" w:rsidR="0076522C" w:rsidRDefault="0076522C" w:rsidP="005F0D16"/>
    <w:p w14:paraId="2513683C" w14:textId="5CE31703" w:rsidR="002C1CA7" w:rsidRDefault="00D42B24" w:rsidP="002C1CA7">
      <w:pPr>
        <w:keepNext/>
        <w:jc w:val="center"/>
      </w:pPr>
      <w:r>
        <w:object w:dxaOrig="7866" w:dyaOrig="2544" w14:anchorId="25405E5F">
          <v:shape id="_x0000_i1026" type="#_x0000_t75" style="width:393pt;height:127.5pt" o:ole="">
            <v:imagedata r:id="rId14" o:title=""/>
          </v:shape>
          <o:OLEObject Type="Embed" ProgID="Visio.Drawing.11" ShapeID="_x0000_i1026" DrawAspect="Content" ObjectID="_1611055915" r:id="rId15"/>
        </w:object>
      </w:r>
    </w:p>
    <w:p w14:paraId="45375838" w14:textId="13FCC0CE" w:rsidR="0076522C" w:rsidRDefault="002C1CA7" w:rsidP="002C1CA7">
      <w:pPr>
        <w:pStyle w:val="Caption"/>
      </w:pPr>
      <w:bookmarkStart w:id="1" w:name="_Ref481052607"/>
      <w:r>
        <w:t>Σχήμα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
      <w:r>
        <w:t xml:space="preserve"> – Υψηλού επιπέδου επισκόπηση της διαδικασίας του δικαιώματος προσφυγής</w:t>
      </w:r>
    </w:p>
    <w:p w14:paraId="0BE3A7CF" w14:textId="77777777" w:rsidR="005F0D16" w:rsidRDefault="005F0D16" w:rsidP="00DA38BA"/>
    <w:p w14:paraId="731BFD18" w14:textId="4272240C" w:rsidR="00295957" w:rsidRDefault="00295957" w:rsidP="00DA38BA">
      <w:r>
        <w:t>Το δικαίωμα προσφυγής υπόκειται σε εθνικούς κανονισμούς και, ως εκ τούτου, ασκείται εκτός του συστήματος τελωνειακών αποφάσεων. Μόνο το αποτέλεσμα του δικαιώματος προσφυγής καταγράφεται στο σύστημα.</w:t>
      </w:r>
    </w:p>
    <w:p w14:paraId="5C09BD28" w14:textId="13C96EBE" w:rsidR="005F0D16" w:rsidRDefault="00295957" w:rsidP="00DA38BA">
      <w:r>
        <w:t>Ο συναλλασσόμενος έχει το δικαίωμα προσφυγής στις ακόλουθες δύο περιπτώσεις:</w:t>
      </w:r>
    </w:p>
    <w:p w14:paraId="4C3CC013" w14:textId="224594C0" w:rsidR="0076522C" w:rsidRDefault="00295957" w:rsidP="00E85291">
      <w:pPr>
        <w:pStyle w:val="ListParagraph"/>
        <w:numPr>
          <w:ilvl w:val="0"/>
          <w:numId w:val="44"/>
        </w:numPr>
        <w:ind w:left="568" w:hanging="284"/>
        <w:contextualSpacing w:val="0"/>
      </w:pPr>
      <w:r>
        <w:t>Η απόφαση έχει ληφθεί και είναι μη ευνοϊκή για τον αιτούντα.</w:t>
      </w:r>
    </w:p>
    <w:p w14:paraId="06C958DC" w14:textId="0DD7D788" w:rsidR="0076522C" w:rsidRDefault="002C11DE" w:rsidP="00E85291">
      <w:pPr>
        <w:pStyle w:val="ListParagraph"/>
        <w:numPr>
          <w:ilvl w:val="0"/>
          <w:numId w:val="44"/>
        </w:numPr>
        <w:ind w:left="568" w:hanging="284"/>
        <w:contextualSpacing w:val="0"/>
      </w:pPr>
      <w:r>
        <w:rPr>
          <w:noProof/>
          <w:lang w:val="en-GB" w:eastAsia="en-GB" w:bidi="ar-SA"/>
        </w:rPr>
        <mc:AlternateContent>
          <mc:Choice Requires="wps">
            <w:drawing>
              <wp:anchor distT="0" distB="0" distL="114300" distR="114300" simplePos="0" relativeHeight="251659264" behindDoc="1" locked="0" layoutInCell="1" allowOverlap="1" wp14:anchorId="541B0D10" wp14:editId="3FD8AB98">
                <wp:simplePos x="0" y="0"/>
                <wp:positionH relativeFrom="column">
                  <wp:posOffset>24765</wp:posOffset>
                </wp:positionH>
                <wp:positionV relativeFrom="paragraph">
                  <wp:posOffset>326390</wp:posOffset>
                </wp:positionV>
                <wp:extent cx="5934075" cy="998855"/>
                <wp:effectExtent l="19050" t="19050" r="28575" b="10795"/>
                <wp:wrapTight wrapText="bothSides">
                  <wp:wrapPolygon edited="0">
                    <wp:start x="208" y="-412"/>
                    <wp:lineTo x="-69" y="-412"/>
                    <wp:lineTo x="-69" y="20186"/>
                    <wp:lineTo x="139" y="21421"/>
                    <wp:lineTo x="21427" y="21421"/>
                    <wp:lineTo x="21496" y="21421"/>
                    <wp:lineTo x="21635" y="19774"/>
                    <wp:lineTo x="21635" y="1236"/>
                    <wp:lineTo x="21427" y="-412"/>
                    <wp:lineTo x="208" y="-412"/>
                  </wp:wrapPolygon>
                </wp:wrapTight>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9885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25C11D2" w14:textId="4C0B668E" w:rsidR="002C11DE" w:rsidRPr="00B90D56" w:rsidRDefault="001563CF" w:rsidP="002C11DE">
                            <w:pPr>
                              <w:jc w:val="left"/>
                              <w:rPr>
                                <w:color w:val="806000" w:themeColor="accent4" w:themeShade="80"/>
                                <w:sz w:val="18"/>
                                <w:szCs w:val="16"/>
                              </w:rPr>
                            </w:pPr>
                            <w:r>
                              <w:rPr>
                                <w:noProof/>
                                <w:color w:val="806000" w:themeColor="accent4" w:themeShade="80"/>
                                <w:position w:val="-20"/>
                                <w:sz w:val="18"/>
                                <w:szCs w:val="18"/>
                                <w:lang w:val="en-GB" w:eastAsia="en-GB" w:bidi="ar-SA"/>
                              </w:rPr>
                              <w:drawing>
                                <wp:inline distT="0" distB="0" distL="0" distR="0" wp14:anchorId="47EC1402" wp14:editId="46C878F4">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8"/>
                              </w:rPr>
                              <w:t xml:space="preserve"> Όπως επισημάνθηκε στο </w:t>
                            </w:r>
                            <w:r>
                              <w:rPr>
                                <w:color w:val="806000" w:themeColor="accent4" w:themeShade="80"/>
                                <w:sz w:val="18"/>
                                <w:szCs w:val="16"/>
                              </w:rPr>
                              <w:fldChar w:fldCharType="begin"/>
                            </w:r>
                            <w:r>
                              <w:rPr>
                                <w:color w:val="806000" w:themeColor="accent4" w:themeShade="80"/>
                                <w:sz w:val="18"/>
                                <w:szCs w:val="16"/>
                              </w:rPr>
                              <w:instrText xml:space="preserve"> REF _Ref481052607 \h  \* MERGEFORMAT </w:instrText>
                            </w:r>
                            <w:r>
                              <w:rPr>
                                <w:color w:val="806000" w:themeColor="accent4" w:themeShade="80"/>
                                <w:sz w:val="18"/>
                                <w:szCs w:val="16"/>
                              </w:rPr>
                            </w:r>
                            <w:r>
                              <w:rPr>
                                <w:color w:val="806000" w:themeColor="accent4" w:themeShade="80"/>
                                <w:sz w:val="18"/>
                                <w:szCs w:val="16"/>
                              </w:rPr>
                              <w:fldChar w:fldCharType="separate"/>
                            </w:r>
                            <w:r w:rsidR="002956DE">
                              <w:rPr>
                                <w:color w:val="806000" w:themeColor="accent4" w:themeShade="80"/>
                                <w:sz w:val="18"/>
                                <w:szCs w:val="16"/>
                              </w:rPr>
                              <w:t>Σχήμα</w:t>
                            </w:r>
                            <w:r>
                              <w:rPr>
                                <w:color w:val="806000" w:themeColor="accent4" w:themeShade="80"/>
                                <w:sz w:val="18"/>
                                <w:szCs w:val="16"/>
                              </w:rPr>
                              <w:t xml:space="preserve"> 2</w:t>
                            </w:r>
                            <w:r>
                              <w:rPr>
                                <w:color w:val="806000" w:themeColor="accent4" w:themeShade="80"/>
                                <w:sz w:val="18"/>
                                <w:szCs w:val="16"/>
                              </w:rPr>
                              <w:fldChar w:fldCharType="end"/>
                            </w:r>
                            <w:r>
                              <w:rPr>
                                <w:color w:val="806000" w:themeColor="accent4" w:themeShade="80"/>
                                <w:sz w:val="18"/>
                              </w:rPr>
                              <w:t xml:space="preserve">, ο συναλλασσόμενος μπορεί επίσης να ασκήσει προσφυγή κατά της ανάκλησης ή της ακύρωσης. Ωστόσο, αυτή η λειτουργία δεν έχει ενσωματωθεί ακόμη στο σύστημα CDMS και πρόκειται να συμπεριληφθεί σε μελλοντική βελτίωση. </w:t>
                            </w:r>
                          </w:p>
                        </w:txbxContent>
                      </wps:txbx>
                      <wps:bodyPr rot="0" vert="horz" wrap="square" lIns="108000" tIns="0" rIns="108000" bIns="0" anchor="ctr"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1.95pt;margin-top:25.7pt;width:467.2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" fillcolor="#ffc000" strokecolor="#ffd966 [1943]" strokeweight="2.25pt">
                <v:stroke joinstyle="miter"/>
                <v:textbox inset="3mm,0,3mm,0">
                  <w:txbxContent>
                    <w:p w14:paraId="725C11D2" w14:textId="4C0B668E" w:rsidR="002C11DE" w:rsidRPr="00B90D56" w:rsidRDefault="001563CF" w:rsidP="002C11DE">
                      <w:pPr>
                        <w:jc w:val="left"/>
                        <w:rPr>
                          <w:color w:val="806000" w:themeColor="accent4" w:themeShade="80"/>
                          <w:sz w:val="18"/>
                          <w:szCs w:val="16"/>
                        </w:rPr>
                      </w:pPr>
                      <w:r>
                        <w:rPr>
                          <w:noProof/>
                          <w:color w:val="806000" w:themeColor="accent4" w:themeShade="80"/>
                          <w:position w:val="-20"/>
                          <w:sz w:val="18"/>
                          <w:szCs w:val="18"/>
                          <w:lang w:val="en-GB" w:eastAsia="en-GB" w:bidi="ar-SA"/>
                        </w:rPr>
                        <w:drawing>
                          <wp:inline distT="0" distB="0" distL="0" distR="0" wp14:anchorId="47EC1402" wp14:editId="46C878F4">
                            <wp:extent cx="360000" cy="360000"/>
                            <wp:effectExtent l="0" t="0" r="2540" b="2540"/>
                            <wp:docPr id="1"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7"/>
                                        </a:ext>
                                      </a:extLst>
                                    </a:blip>
                                    <a:stretch>
                                      <a:fillRect/>
                                    </a:stretch>
                                  </pic:blipFill>
                                  <pic:spPr>
                                    <a:xfrm>
                                      <a:off x="0" y="0"/>
                                      <a:ext cx="360000" cy="360000"/>
                                    </a:xfrm>
                                    <a:prstGeom prst="rect">
                                      <a:avLst/>
                                    </a:prstGeom>
                                  </pic:spPr>
                                </pic:pic>
                              </a:graphicData>
                            </a:graphic>
                          </wp:inline>
                        </w:drawing>
                      </w:r>
                      <w:r>
                        <w:rPr>
                          <w:color w:val="806000" w:themeColor="accent4" w:themeShade="80"/>
                          <w:sz w:val="18"/>
                        </w:rPr>
                        <w:t xml:space="preserve"> Όπως επισημάνθηκε στο </w:t>
                      </w:r>
                      <w:r>
                        <w:rPr>
                          <w:color w:val="806000" w:themeColor="accent4" w:themeShade="80"/>
                          <w:sz w:val="18"/>
                          <w:szCs w:val="16"/>
                        </w:rPr>
                        <w:fldChar w:fldCharType="begin"/>
                      </w:r>
                      <w:r>
                        <w:rPr>
                          <w:color w:val="806000" w:themeColor="accent4" w:themeShade="80"/>
                          <w:sz w:val="18"/>
                          <w:szCs w:val="16"/>
                        </w:rPr>
                        <w:instrText xml:space="preserve"> REF _Ref481052607 \h  \* MERGEFORMAT </w:instrText>
                      </w:r>
                      <w:r>
                        <w:rPr>
                          <w:color w:val="806000" w:themeColor="accent4" w:themeShade="80"/>
                          <w:sz w:val="18"/>
                          <w:szCs w:val="16"/>
                        </w:rPr>
                      </w:r>
                      <w:r>
                        <w:rPr>
                          <w:color w:val="806000" w:themeColor="accent4" w:themeShade="80"/>
                          <w:sz w:val="18"/>
                          <w:szCs w:val="16"/>
                        </w:rPr>
                        <w:fldChar w:fldCharType="separate"/>
                      </w:r>
                      <w:r w:rsidR="002956DE">
                        <w:rPr>
                          <w:color w:val="806000" w:themeColor="accent4" w:themeShade="80"/>
                          <w:sz w:val="18"/>
                          <w:szCs w:val="16"/>
                        </w:rPr>
                        <w:t>Σχήμα</w:t>
                      </w:r>
                      <w:r>
                        <w:rPr>
                          <w:color w:val="806000" w:themeColor="accent4" w:themeShade="80"/>
                          <w:sz w:val="18"/>
                          <w:szCs w:val="16"/>
                        </w:rPr>
                        <w:t xml:space="preserve"> 2</w:t>
                      </w:r>
                      <w:r>
                        <w:rPr>
                          <w:color w:val="806000" w:themeColor="accent4" w:themeShade="80"/>
                          <w:sz w:val="18"/>
                          <w:szCs w:val="16"/>
                        </w:rPr>
                        <w:fldChar w:fldCharType="end"/>
                      </w:r>
                      <w:r>
                        <w:rPr>
                          <w:color w:val="806000" w:themeColor="accent4" w:themeShade="80"/>
                          <w:sz w:val="18"/>
                        </w:rPr>
                        <w:t xml:space="preserve">, ο συναλλασσόμενος μπορεί επίσης να ασκήσει προσφυγή κατά της ανάκλησης ή της ακύρωσης. Ωστόσο, αυτή η λειτουργία δεν έχει ενσωματωθεί ακόμη στο σύστημα CDMS και πρόκειται να συμπεριληφθεί σε μελλοντική βελτίωση. </w:t>
                      </w:r>
                    </w:p>
                  </w:txbxContent>
                </v:textbox>
                <w10:wrap type="tight"/>
              </v:roundrect>
            </w:pict>
          </mc:Fallback>
        </mc:AlternateContent>
      </w:r>
      <w:r>
        <w:t>Δεν ελήφθη από τον συναλλασσόμενο απόφαση σχετικά με την αίτηση εντός της προθεσμίας λήψης απόφασης.</w:t>
      </w:r>
    </w:p>
    <w:p w14:paraId="07B2A870" w14:textId="5C88ED4C" w:rsidR="002C11DE" w:rsidRDefault="002C11DE" w:rsidP="00DA38BA"/>
    <w:p w14:paraId="3A0E8409" w14:textId="7E95C7D0" w:rsidR="005F0D16" w:rsidRDefault="00F311AE" w:rsidP="00DA38BA">
      <w:r>
        <w:t xml:space="preserve">Όταν ο συναλλασσόμενος ασκεί προσφυγή, ο τελωνειακός υπάλληλος καταγράφει στο σύστημα την ημερομηνία έναρξης της διαδικασίας και τον λόγο της προσφυγής. </w:t>
      </w:r>
    </w:p>
    <w:p w14:paraId="2085B1D2" w14:textId="6440E3E4" w:rsidR="00F311AE" w:rsidRDefault="00F311AE" w:rsidP="00F311AE">
      <w:r>
        <w:t xml:space="preserve">Όταν ολοκληρωθεί η άσκηση του δικαιώματος προσφυγής, ο τελωνειακός υπάλληλος καταχωρίζει τις λεπτομέρειες του αποτελέσματος μαζί με την αιτιολόγηση. </w:t>
      </w:r>
    </w:p>
    <w:p w14:paraId="01D69BFC" w14:textId="54F64020" w:rsidR="00435CDA" w:rsidRDefault="00F311AE" w:rsidP="00F311AE">
      <w:r>
        <w:t>Σε περίπτωση πο</w:t>
      </w:r>
      <w:bookmarkStart w:id="2" w:name="_GoBack"/>
      <w:bookmarkEnd w:id="2"/>
      <w:r>
        <w:t xml:space="preserve">υ είχε χορηγηθεί η άδεια και εάν το αποτέλεσμα της άσκησης του δικαιώματος προσφυγής είναι ευνοϊκό, η κατάσταση απόφασης επιστρέφει σε «ενεργή» και ο συναλλασσόμενος και τα εμπλεκόμενα κράτη μέλη ενημερώνονται σχετικά. </w:t>
      </w:r>
    </w:p>
    <w:p w14:paraId="798C5653" w14:textId="4A60AEB5" w:rsidR="00435CDA" w:rsidRDefault="00435CDA" w:rsidP="00F311AE">
      <w:r>
        <w:t>Σε περίπτωση που είχε χορηγηθεί η άδεια και εάν το αποτέλεσμα της άσκησης του δικαιώματος προσφυγής είναι μη ευνοϊκό, η άδεια παραμένει αμετάβλητη. Κανένας φορέας δεν ενημερώνεται.</w:t>
      </w:r>
    </w:p>
    <w:p w14:paraId="447CFF6C" w14:textId="049EBCA2" w:rsidR="00F311AE" w:rsidRDefault="00295957" w:rsidP="008A23DD">
      <w:r>
        <w:t>Εάν η αιτία της προσφυγής ήταν η λήξη της προθεσμίας λήψης απόφασης ή η λήψη μη ευνοϊκής απόφασης και εάν το αποτέλεσμα της άσκησης του δικαιώματος προσφυγής είναι ευνοϊκό, αποδίδεται στην άδεια ο αριθμός αναφοράς της απόφασης. Στη συνέχεια, ο συναλλασσόμενος και τα εμπλεκόμενα κράτη μέλη ενημερώνονται σχετικά.</w:t>
      </w:r>
    </w:p>
    <w:p w14:paraId="554F915B" w14:textId="40872C74" w:rsidR="00435CDA" w:rsidRDefault="00435CDA" w:rsidP="00F311AE">
      <w:r>
        <w:t>Εάν η αιτία της προσφυγής ήταν η λήξη της προθεσμίας λήψης απόφασης ή η λήψη μη ευνοϊκής απόφασης και εάν το αποτέλεσμα της άσκησης του δικαιώματος προσφυγής εξακολουθεί να είναι μη ευνοϊκό, τότε ο συναλλασσόμενος και τα εμπλεκόμενα κράτη μέλη ενημερώνονται σχετικά.</w:t>
      </w:r>
    </w:p>
    <w:p w14:paraId="287EA8DE" w14:textId="642084F9" w:rsidR="00D71BAE" w:rsidRDefault="00D71BAE" w:rsidP="00D71BAE">
      <w:r>
        <w:t>Εφόσον η έκβαση της άσκησης του δικαιώματος προσφυγής είναι θετική, εφόσον έχει γνωστοποιηθεί στο κράτος μέλος και εφόσον έχει ληφθεί η συναίνεση του συναλλασσόμενου για τη δημοσίευση της απόφασης, η απόφαση δημοσιεύεται αυτομάτως στον κατάλληλο ιστότοπο στο διαδίκτυο με προσθήκη του συναλλασσόμενου στον κατάλογο των δικαιούχων.</w:t>
      </w:r>
    </w:p>
    <w:sectPr w:rsidR="00D71BAE" w:rsidSect="0056695E">
      <w:footerReference w:type="default" r:id="rId18"/>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rPr>
        <w:noProof/>
      </w:rPr>
    </w:sdtEndPr>
    <w:sdtContent>
      <w:p w14:paraId="1479F2D1" w14:textId="47D2FDE4" w:rsidR="00F87FF8" w:rsidRDefault="00F87FF8" w:rsidP="00F87FF8">
        <w:pPr>
          <w:pStyle w:val="Footer"/>
          <w:jc w:val="center"/>
        </w:pPr>
        <w:r>
          <w:fldChar w:fldCharType="begin"/>
        </w:r>
        <w:r>
          <w:instrText xml:space="preserve"> PAGE   \* MERGEFORMAT </w:instrText>
        </w:r>
        <w:r>
          <w:fldChar w:fldCharType="separate"/>
        </w:r>
        <w:r w:rsidR="002956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B8C84EBA"/>
    <w:lvl w:ilvl="0">
      <w:start w:val="1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70B63"/>
    <w:multiLevelType w:val="hybridMultilevel"/>
    <w:tmpl w:val="5D0C012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9967EC4"/>
    <w:multiLevelType w:val="hybridMultilevel"/>
    <w:tmpl w:val="944E0528"/>
    <w:lvl w:ilvl="0" w:tplc="79F2DF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8"/>
  </w:num>
  <w:num w:numId="9">
    <w:abstractNumId w:val="31"/>
  </w:num>
  <w:num w:numId="10">
    <w:abstractNumId w:val="29"/>
  </w:num>
  <w:num w:numId="11">
    <w:abstractNumId w:val="21"/>
  </w:num>
  <w:num w:numId="12">
    <w:abstractNumId w:val="35"/>
  </w:num>
  <w:num w:numId="13">
    <w:abstractNumId w:val="19"/>
  </w:num>
  <w:num w:numId="14">
    <w:abstractNumId w:val="13"/>
  </w:num>
  <w:num w:numId="15">
    <w:abstractNumId w:val="17"/>
  </w:num>
  <w:num w:numId="16">
    <w:abstractNumId w:val="5"/>
  </w:num>
  <w:num w:numId="17">
    <w:abstractNumId w:val="14"/>
  </w:num>
  <w:num w:numId="18">
    <w:abstractNumId w:val="26"/>
  </w:num>
  <w:num w:numId="19">
    <w:abstractNumId w:val="43"/>
  </w:num>
  <w:num w:numId="20">
    <w:abstractNumId w:val="15"/>
  </w:num>
  <w:num w:numId="21">
    <w:abstractNumId w:val="37"/>
  </w:num>
  <w:num w:numId="22">
    <w:abstractNumId w:val="25"/>
  </w:num>
  <w:num w:numId="23">
    <w:abstractNumId w:val="34"/>
  </w:num>
  <w:num w:numId="24">
    <w:abstractNumId w:val="27"/>
  </w:num>
  <w:num w:numId="25">
    <w:abstractNumId w:val="32"/>
  </w:num>
  <w:num w:numId="26">
    <w:abstractNumId w:val="40"/>
  </w:num>
  <w:num w:numId="27">
    <w:abstractNumId w:val="30"/>
  </w:num>
  <w:num w:numId="28">
    <w:abstractNumId w:val="7"/>
  </w:num>
  <w:num w:numId="29">
    <w:abstractNumId w:val="12"/>
  </w:num>
  <w:num w:numId="30">
    <w:abstractNumId w:val="33"/>
  </w:num>
  <w:num w:numId="31">
    <w:abstractNumId w:val="41"/>
  </w:num>
  <w:num w:numId="32">
    <w:abstractNumId w:val="42"/>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8"/>
  </w:num>
  <w:num w:numId="40">
    <w:abstractNumId w:val="36"/>
  </w:num>
  <w:num w:numId="41">
    <w:abstractNumId w:val="6"/>
  </w:num>
  <w:num w:numId="42">
    <w:abstractNumId w:val="8"/>
  </w:num>
  <w:num w:numId="43">
    <w:abstractNumId w:val="24"/>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3DA3"/>
    <w:rsid w:val="0000435C"/>
    <w:rsid w:val="000043B4"/>
    <w:rsid w:val="00004C4B"/>
    <w:rsid w:val="00004DF6"/>
    <w:rsid w:val="00005551"/>
    <w:rsid w:val="00005576"/>
    <w:rsid w:val="00005756"/>
    <w:rsid w:val="00005FF7"/>
    <w:rsid w:val="00006190"/>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33A"/>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C7B"/>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0F9"/>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3C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2F3"/>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13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4A48"/>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6DE"/>
    <w:rsid w:val="0029579B"/>
    <w:rsid w:val="002957A1"/>
    <w:rsid w:val="00295957"/>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1DE"/>
    <w:rsid w:val="002C14FD"/>
    <w:rsid w:val="002C16C8"/>
    <w:rsid w:val="002C1CA7"/>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096"/>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194"/>
    <w:rsid w:val="00427861"/>
    <w:rsid w:val="00427DE7"/>
    <w:rsid w:val="00427E52"/>
    <w:rsid w:val="004305A9"/>
    <w:rsid w:val="004308AA"/>
    <w:rsid w:val="00430BAE"/>
    <w:rsid w:val="00430F8C"/>
    <w:rsid w:val="00431015"/>
    <w:rsid w:val="0043138A"/>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CD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6B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847"/>
    <w:rsid w:val="004F2D62"/>
    <w:rsid w:val="004F3419"/>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0DBB"/>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675"/>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4F29"/>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D16"/>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4C40"/>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2EB6"/>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2C4"/>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6BAB"/>
    <w:rsid w:val="006E7369"/>
    <w:rsid w:val="006E788F"/>
    <w:rsid w:val="006E7A91"/>
    <w:rsid w:val="006E7E42"/>
    <w:rsid w:val="006F0511"/>
    <w:rsid w:val="006F058F"/>
    <w:rsid w:val="006F283F"/>
    <w:rsid w:val="006F2C01"/>
    <w:rsid w:val="006F2C84"/>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17A2F"/>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22C"/>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240"/>
    <w:rsid w:val="007A67C7"/>
    <w:rsid w:val="007A6B35"/>
    <w:rsid w:val="007A6B57"/>
    <w:rsid w:val="007A73BC"/>
    <w:rsid w:val="007A799C"/>
    <w:rsid w:val="007A7A4F"/>
    <w:rsid w:val="007B0017"/>
    <w:rsid w:val="007B045B"/>
    <w:rsid w:val="007B07AB"/>
    <w:rsid w:val="007B0EC7"/>
    <w:rsid w:val="007B163C"/>
    <w:rsid w:val="007B17DE"/>
    <w:rsid w:val="007B1B55"/>
    <w:rsid w:val="007B1C20"/>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4E9"/>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49B"/>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23DD"/>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0E2"/>
    <w:rsid w:val="00921489"/>
    <w:rsid w:val="009216E3"/>
    <w:rsid w:val="009218D7"/>
    <w:rsid w:val="009225D3"/>
    <w:rsid w:val="009226CC"/>
    <w:rsid w:val="00922752"/>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4C"/>
    <w:rsid w:val="009632AB"/>
    <w:rsid w:val="00963B07"/>
    <w:rsid w:val="009640CF"/>
    <w:rsid w:val="00964193"/>
    <w:rsid w:val="009651A5"/>
    <w:rsid w:val="00965D51"/>
    <w:rsid w:val="00966230"/>
    <w:rsid w:val="009666EE"/>
    <w:rsid w:val="0096697C"/>
    <w:rsid w:val="009672ED"/>
    <w:rsid w:val="009676CE"/>
    <w:rsid w:val="00967744"/>
    <w:rsid w:val="0096774E"/>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32EE"/>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3D9"/>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D25"/>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2B4"/>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262"/>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6F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068"/>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3FBD"/>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97B"/>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2B24"/>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1BAE"/>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2A0"/>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291"/>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AEE"/>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521"/>
    <w:rsid w:val="00EB4948"/>
    <w:rsid w:val="00EB4B7A"/>
    <w:rsid w:val="00EB51F0"/>
    <w:rsid w:val="00EB54FE"/>
    <w:rsid w:val="00EB65A6"/>
    <w:rsid w:val="00EB6863"/>
    <w:rsid w:val="00EB6981"/>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1AE"/>
    <w:rsid w:val="00F3156E"/>
    <w:rsid w:val="00F3192B"/>
    <w:rsid w:val="00F31CAC"/>
    <w:rsid w:val="00F31F0A"/>
    <w:rsid w:val="00F3265A"/>
    <w:rsid w:val="00F32CB8"/>
    <w:rsid w:val="00F33936"/>
    <w:rsid w:val="00F33F7F"/>
    <w:rsid w:val="00F34127"/>
    <w:rsid w:val="00F3486D"/>
    <w:rsid w:val="00F348D8"/>
    <w:rsid w:val="00F3512C"/>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CEC"/>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324D"/>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87FF8"/>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052"/>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95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87FF8"/>
    <w:rPr>
      <w:rFonts w:ascii="Arial" w:hAnsi="Arial"/>
      <w:sz w:val="18"/>
      <w:szCs w:val="24"/>
      <w:lang w:eastAsia="el-GR"/>
    </w:rPr>
  </w:style>
  <w:style w:type="paragraph" w:customStyle="1" w:styleId="CM1">
    <w:name w:val="CM1"/>
    <w:basedOn w:val="Normal"/>
    <w:next w:val="Normal"/>
    <w:uiPriority w:val="99"/>
    <w:rsid w:val="005F0D16"/>
    <w:pPr>
      <w:autoSpaceDE w:val="0"/>
      <w:autoSpaceDN w:val="0"/>
      <w:adjustRightInd w:val="0"/>
      <w:spacing w:after="0"/>
      <w:jc w:val="left"/>
    </w:pPr>
    <w:rPr>
      <w:rFonts w:ascii="EUAlbertina" w:hAnsi="EUAlbertina"/>
      <w:sz w:val="24"/>
    </w:rPr>
  </w:style>
  <w:style w:type="paragraph" w:customStyle="1" w:styleId="CM3">
    <w:name w:val="CM3"/>
    <w:basedOn w:val="Normal"/>
    <w:next w:val="Normal"/>
    <w:uiPriority w:val="99"/>
    <w:rsid w:val="005F0D16"/>
    <w:pPr>
      <w:autoSpaceDE w:val="0"/>
      <w:autoSpaceDN w:val="0"/>
      <w:adjustRightInd w:val="0"/>
      <w:spacing w:after="0"/>
      <w:jc w:val="left"/>
    </w:pPr>
    <w:rPr>
      <w:rFonts w:ascii="EUAlbertina" w:hAnsi="EUAlberti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F87FF8"/>
    <w:rPr>
      <w:rFonts w:ascii="Arial" w:hAnsi="Arial"/>
      <w:sz w:val="18"/>
      <w:szCs w:val="24"/>
      <w:lang w:eastAsia="el-GR"/>
    </w:rPr>
  </w:style>
  <w:style w:type="paragraph" w:customStyle="1" w:styleId="CM1">
    <w:name w:val="CM1"/>
    <w:basedOn w:val="Normal"/>
    <w:next w:val="Normal"/>
    <w:uiPriority w:val="99"/>
    <w:rsid w:val="005F0D16"/>
    <w:pPr>
      <w:autoSpaceDE w:val="0"/>
      <w:autoSpaceDN w:val="0"/>
      <w:adjustRightInd w:val="0"/>
      <w:spacing w:after="0"/>
      <w:jc w:val="left"/>
    </w:pPr>
    <w:rPr>
      <w:rFonts w:ascii="EUAlbertina" w:hAnsi="EUAlbertina"/>
      <w:sz w:val="24"/>
    </w:rPr>
  </w:style>
  <w:style w:type="paragraph" w:customStyle="1" w:styleId="CM3">
    <w:name w:val="CM3"/>
    <w:basedOn w:val="Normal"/>
    <w:next w:val="Normal"/>
    <w:uiPriority w:val="99"/>
    <w:rsid w:val="005F0D16"/>
    <w:pPr>
      <w:autoSpaceDE w:val="0"/>
      <w:autoSpaceDN w:val="0"/>
      <w:adjustRightInd w:val="0"/>
      <w:spacing w:after="0"/>
      <w:jc w:val="left"/>
    </w:pPr>
    <w:rPr>
      <w:rFonts w:ascii="EUAlbertina" w:hAnsi="EUAlberti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6F7E8352-195B-4397-B283-F8B5874F9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4.xml><?xml version="1.0" encoding="utf-8"?>
<ds:datastoreItem xmlns:ds="http://schemas.openxmlformats.org/officeDocument/2006/customXml" ds:itemID="{A92DCF92-CBA7-4E5D-8800-43E6B78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7997</TotalTime>
  <Pages>2</Pages>
  <Words>407</Words>
  <Characters>2597</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2978</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31</cp:revision>
  <cp:lastPrinted>2010-08-20T08:44:00Z</cp:lastPrinted>
  <dcterms:created xsi:type="dcterms:W3CDTF">2017-04-27T07:40:00Z</dcterms:created>
  <dcterms:modified xsi:type="dcterms:W3CDTF">2019-02-07T13:44:00Z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