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7865D649" w:rsidR="005A195B" w:rsidRPr="00DA38BA" w:rsidRDefault="0007489C" w:rsidP="000039D2">
      <w:pPr>
        <w:pStyle w:val="Heading1"/>
      </w:pPr>
      <w:bookmarkStart w:id="0" w:name="_GoBack"/>
      <w:bookmarkEnd w:id="0"/>
      <w:r>
        <w:t>Amend a Decision</w:t>
      </w:r>
    </w:p>
    <w:p w14:paraId="00142688" w14:textId="574C8EC0" w:rsidR="00D4106C" w:rsidRDefault="000039D2" w:rsidP="00D4106C">
      <w:pPr>
        <w:pStyle w:val="Heading2"/>
      </w:pPr>
      <w:r>
        <w:t>Stakeholders involved in the Process</w:t>
      </w:r>
    </w:p>
    <w:p w14:paraId="4C277DD3" w14:textId="77777777" w:rsidR="002A72A2" w:rsidRDefault="002A72A2" w:rsidP="002A72A2">
      <w:pPr>
        <w:pStyle w:val="ListParagraph"/>
        <w:numPr>
          <w:ilvl w:val="0"/>
          <w:numId w:val="45"/>
        </w:numPr>
        <w:ind w:left="568" w:hanging="284"/>
        <w:contextualSpacing w:val="0"/>
      </w:pPr>
      <w:r>
        <w:t>Trader;</w:t>
      </w:r>
    </w:p>
    <w:p w14:paraId="2212F07B" w14:textId="25235EB2" w:rsidR="002A72A2" w:rsidRDefault="002A72A2" w:rsidP="002A72A2">
      <w:pPr>
        <w:pStyle w:val="ListParagraph"/>
        <w:numPr>
          <w:ilvl w:val="0"/>
          <w:numId w:val="45"/>
        </w:numPr>
        <w:ind w:left="568" w:hanging="284"/>
        <w:contextualSpacing w:val="0"/>
      </w:pPr>
      <w:r>
        <w:t>Decision-</w:t>
      </w:r>
      <w:r w:rsidR="00E56CCD">
        <w:t>t</w:t>
      </w:r>
      <w:r>
        <w:t xml:space="preserve">aking </w:t>
      </w:r>
      <w:r w:rsidR="00E56CCD">
        <w:t>c</w:t>
      </w:r>
      <w:r>
        <w:t xml:space="preserve">ustoms </w:t>
      </w:r>
      <w:r w:rsidR="00E56CCD">
        <w:t>a</w:t>
      </w:r>
      <w:r>
        <w:t>uthority;</w:t>
      </w:r>
    </w:p>
    <w:p w14:paraId="4BA05694" w14:textId="75780A99" w:rsidR="002A72A2" w:rsidRDefault="002A72A2" w:rsidP="002A72A2">
      <w:pPr>
        <w:pStyle w:val="ListParagraph"/>
        <w:numPr>
          <w:ilvl w:val="0"/>
          <w:numId w:val="45"/>
        </w:numPr>
        <w:ind w:left="568" w:hanging="284"/>
        <w:contextualSpacing w:val="0"/>
      </w:pPr>
      <w:r>
        <w:t xml:space="preserve">Involved </w:t>
      </w:r>
      <w:r w:rsidR="000C3812">
        <w:t>m</w:t>
      </w:r>
      <w:r>
        <w:t xml:space="preserve">ember </w:t>
      </w:r>
      <w:r w:rsidR="000C3812">
        <w:t>s</w:t>
      </w:r>
      <w:r>
        <w:t>tates.</w:t>
      </w:r>
    </w:p>
    <w:p w14:paraId="2A42B5ED" w14:textId="77777777" w:rsidR="00D4106C" w:rsidRDefault="00D4106C" w:rsidP="00D4106C">
      <w:pPr>
        <w:pStyle w:val="Heading2"/>
      </w:pPr>
      <w:r>
        <w:t>Business</w:t>
      </w:r>
    </w:p>
    <w:p w14:paraId="0BD4A10D" w14:textId="7D7F0496" w:rsidR="008115C2" w:rsidRDefault="00D4106C" w:rsidP="00D4106C">
      <w:r>
        <w:t xml:space="preserve">Once the authorisation is granted, either the </w:t>
      </w:r>
      <w:r w:rsidR="00D94354">
        <w:t>t</w:t>
      </w:r>
      <w:r>
        <w:t xml:space="preserve">rader or the </w:t>
      </w:r>
      <w:r w:rsidR="00D94354">
        <w:t>c</w:t>
      </w:r>
      <w:r>
        <w:t xml:space="preserve">ustoms </w:t>
      </w:r>
      <w:r w:rsidR="00D94354">
        <w:t>o</w:t>
      </w:r>
      <w:r>
        <w:t xml:space="preserve">fficer can request </w:t>
      </w:r>
      <w:r w:rsidR="009019F1">
        <w:t xml:space="preserve">an </w:t>
      </w:r>
      <w:r>
        <w:t>amendment</w:t>
      </w:r>
      <w:r w:rsidR="00483BC2">
        <w:t xml:space="preserve"> of the decision</w:t>
      </w:r>
      <w:r>
        <w:t>.</w:t>
      </w:r>
      <w:r w:rsidR="00483BC2">
        <w:t xml:space="preserve"> </w:t>
      </w:r>
      <w:r w:rsidR="00F87972">
        <w:t>The a</w:t>
      </w:r>
      <w:r w:rsidR="00483BC2">
        <w:t xml:space="preserve">mendment can </w:t>
      </w:r>
      <w:r w:rsidR="00786BE9">
        <w:t>also result from the Re-asses</w:t>
      </w:r>
      <w:r w:rsidR="001C5ADD">
        <w:t>s</w:t>
      </w:r>
      <w:r w:rsidR="00786BE9">
        <w:t xml:space="preserve"> decision process, Suspend </w:t>
      </w:r>
      <w:r w:rsidR="008973C3">
        <w:t xml:space="preserve">decision </w:t>
      </w:r>
      <w:r w:rsidR="00786BE9">
        <w:t>process, or Annul decision process</w:t>
      </w:r>
      <w:r w:rsidR="008115C2">
        <w:t xml:space="preserve"> in the following manner:</w:t>
      </w:r>
    </w:p>
    <w:p w14:paraId="1B34E2C5" w14:textId="193B7437" w:rsidR="008115C2" w:rsidRDefault="008115C2" w:rsidP="005166B4">
      <w:pPr>
        <w:pStyle w:val="ListParagraph"/>
        <w:numPr>
          <w:ilvl w:val="0"/>
          <w:numId w:val="44"/>
        </w:numPr>
        <w:ind w:left="568" w:hanging="284"/>
        <w:contextualSpacing w:val="0"/>
      </w:pPr>
      <w:r>
        <w:t>During the re-assessment process the customs officer investigates if the conditions and criteria are still fulfilled. If the conditions and criteria are not met anymore, the amend process can be initiated;</w:t>
      </w:r>
    </w:p>
    <w:p w14:paraId="0B7F0BDE" w14:textId="2C5361E3" w:rsidR="00D4106C" w:rsidRDefault="00C74D17" w:rsidP="005166B4">
      <w:pPr>
        <w:pStyle w:val="ListParagraph"/>
        <w:numPr>
          <w:ilvl w:val="0"/>
          <w:numId w:val="44"/>
        </w:numPr>
        <w:ind w:left="568" w:hanging="284"/>
        <w:contextualSpacing w:val="0"/>
      </w:pPr>
      <w:r>
        <w:t>If there are sufficient reasons to believe, that the decision is to be amended, but the customs officer does not yet ha</w:t>
      </w:r>
      <w:r w:rsidR="008973C3">
        <w:t>ve</w:t>
      </w:r>
      <w:r>
        <w:t xml:space="preserve"> all the needed information, the decision can be suspended before the amendment;</w:t>
      </w:r>
      <w:r w:rsidR="00483BC2">
        <w:t xml:space="preserve"> </w:t>
      </w:r>
      <w:r w:rsidR="00D4106C">
        <w:t xml:space="preserve"> </w:t>
      </w:r>
    </w:p>
    <w:p w14:paraId="7BD9EB34" w14:textId="4E5FBFE4" w:rsidR="00C74D17" w:rsidRDefault="00C74D17" w:rsidP="005166B4">
      <w:pPr>
        <w:pStyle w:val="ListParagraph"/>
        <w:numPr>
          <w:ilvl w:val="0"/>
          <w:numId w:val="44"/>
        </w:numPr>
        <w:ind w:left="568" w:hanging="284"/>
        <w:contextualSpacing w:val="0"/>
      </w:pPr>
      <w:r>
        <w:t xml:space="preserve">If the decision is annulled, it cannot be amended. However, if the decision is not annulled during the annulment process, it still can be amended. </w:t>
      </w:r>
    </w:p>
    <w:p w14:paraId="1BE86878" w14:textId="0CA766C3" w:rsidR="00DE760D" w:rsidRDefault="00DE760D" w:rsidP="007F7A97">
      <w:r>
        <w:t xml:space="preserve">It is worth noting that the system will not allow the authorisation status to change more than once a day. Therefore, the amendment process can be </w:t>
      </w:r>
      <w:r w:rsidRPr="007F7A97">
        <w:rPr>
          <w:i/>
        </w:rPr>
        <w:t>started</w:t>
      </w:r>
      <w:r>
        <w:t xml:space="preserve"> as soon as the authorisation is granted but the system will prevent the user to confirm the amendment</w:t>
      </w:r>
      <w:r>
        <w:rPr>
          <w:rStyle w:val="FootnoteReference"/>
        </w:rPr>
        <w:footnoteReference w:id="1"/>
      </w:r>
      <w:r w:rsidR="004707CE">
        <w:t xml:space="preserve"> </w:t>
      </w:r>
      <w:r>
        <w:t>if the authorisation validity start date is on the same day or if the status of the authorisation has already changed on the same day. A warning will ask the user to proceed on the next day at the earliest.</w:t>
      </w:r>
    </w:p>
    <w:p w14:paraId="4A517F92" w14:textId="77777777" w:rsidR="00AC59DA" w:rsidRDefault="00AC59DA" w:rsidP="007F7A97"/>
    <w:p w14:paraId="432234D1" w14:textId="1EB647F6" w:rsidR="00D4106C" w:rsidRDefault="00D4106C" w:rsidP="00D4106C">
      <w:r>
        <w:t>In our high-level view of the Customs Decision</w:t>
      </w:r>
      <w:r w:rsidR="004E17D8">
        <w:t>s</w:t>
      </w:r>
      <w:r>
        <w:t xml:space="preserve"> process</w:t>
      </w:r>
      <w:r w:rsidR="007D2895">
        <w:t xml:space="preserve"> (Figure </w:t>
      </w:r>
      <w:r w:rsidR="007D2895">
        <w:rPr>
          <w:noProof/>
        </w:rPr>
        <w:t>1</w:t>
      </w:r>
      <w:r w:rsidR="007D2895">
        <w:t>)</w:t>
      </w:r>
      <w:r>
        <w:t>, the amendment is part of the Manage Authorisation process, as depicted in</w:t>
      </w:r>
      <w:r w:rsidR="007D2895">
        <w:t xml:space="preserve"> Figure </w:t>
      </w:r>
      <w:r w:rsidR="007D2895">
        <w:rPr>
          <w:noProof/>
        </w:rPr>
        <w:t>2</w:t>
      </w:r>
      <w:r>
        <w:t>.</w:t>
      </w:r>
      <w:r w:rsidR="00C8165B">
        <w:t xml:space="preserve"> </w:t>
      </w:r>
    </w:p>
    <w:p w14:paraId="2F38410E" w14:textId="5C5FAAAA" w:rsidR="00D4106C" w:rsidRDefault="00CB0607" w:rsidP="00D4106C">
      <w:pPr>
        <w:keepNext/>
        <w:jc w:val="center"/>
      </w:pPr>
      <w:r>
        <w:lastRenderedPageBreak/>
        <w:pict w14:anchorId="1D623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1pt;height:248.75pt">
            <v:imagedata r:id="rId12" o:title=""/>
          </v:shape>
        </w:pict>
      </w:r>
    </w:p>
    <w:p w14:paraId="72B68098" w14:textId="2E5657E3" w:rsidR="00D4106C" w:rsidRDefault="00D4106C" w:rsidP="00D4106C">
      <w:pPr>
        <w:pStyle w:val="Caption"/>
      </w:pPr>
      <w:bookmarkStart w:id="1" w:name="_Ref477182398"/>
      <w:r>
        <w:t xml:space="preserve">Figure </w:t>
      </w:r>
      <w:r w:rsidR="007F7A97">
        <w:rPr>
          <w:noProof/>
        </w:rPr>
        <w:fldChar w:fldCharType="begin"/>
      </w:r>
      <w:r w:rsidR="007F7A97">
        <w:rPr>
          <w:noProof/>
        </w:rPr>
        <w:instrText xml:space="preserve"> SEQ Figure \* ARABIC </w:instrText>
      </w:r>
      <w:r w:rsidR="007F7A97">
        <w:rPr>
          <w:noProof/>
        </w:rPr>
        <w:fldChar w:fldCharType="separate"/>
      </w:r>
      <w:r w:rsidR="002875C4">
        <w:rPr>
          <w:noProof/>
        </w:rPr>
        <w:t>1</w:t>
      </w:r>
      <w:r w:rsidR="007F7A97">
        <w:rPr>
          <w:noProof/>
        </w:rPr>
        <w:fldChar w:fldCharType="end"/>
      </w:r>
      <w:bookmarkEnd w:id="1"/>
      <w:r>
        <w:t xml:space="preserve"> </w:t>
      </w:r>
      <w:r w:rsidR="00F36DE5">
        <w:t xml:space="preserve">Manage </w:t>
      </w:r>
      <w:r w:rsidR="003A4299">
        <w:t>Authorisation</w:t>
      </w:r>
      <w:r w:rsidRPr="00CD007F">
        <w:t xml:space="preserve"> process, as part of the Customs Decision</w:t>
      </w:r>
      <w:r w:rsidR="004E17D8">
        <w:t>s</w:t>
      </w:r>
      <w:r w:rsidRPr="00CD007F">
        <w:t xml:space="preserve"> process</w:t>
      </w:r>
    </w:p>
    <w:p w14:paraId="00B1B314" w14:textId="77777777" w:rsidR="00D4106C" w:rsidRDefault="00D4106C" w:rsidP="00D4106C"/>
    <w:p w14:paraId="13844C49" w14:textId="25F15A34" w:rsidR="007D2895" w:rsidRDefault="00CB0607" w:rsidP="007D2895">
      <w:pPr>
        <w:keepNext/>
        <w:jc w:val="center"/>
      </w:pPr>
      <w:r>
        <w:pict w14:anchorId="05298C20">
          <v:shape id="_x0000_i1026" type="#_x0000_t75" style="width:377.85pt;height:329.15pt">
            <v:imagedata r:id="rId13" o:title=""/>
          </v:shape>
        </w:pict>
      </w:r>
    </w:p>
    <w:p w14:paraId="56DDE794" w14:textId="7D328391" w:rsidR="007D2895" w:rsidRDefault="007D2895" w:rsidP="007D2895">
      <w:pPr>
        <w:pStyle w:val="Caption"/>
      </w:pPr>
      <w:bookmarkStart w:id="2" w:name="_Ref479255626"/>
      <w:r>
        <w:t xml:space="preserve">Figure </w:t>
      </w:r>
      <w:r w:rsidR="007F7A97">
        <w:rPr>
          <w:noProof/>
        </w:rPr>
        <w:fldChar w:fldCharType="begin"/>
      </w:r>
      <w:r w:rsidR="007F7A97">
        <w:rPr>
          <w:noProof/>
        </w:rPr>
        <w:instrText xml:space="preserve"> SEQ Figure \* ARABIC </w:instrText>
      </w:r>
      <w:r w:rsidR="007F7A97">
        <w:rPr>
          <w:noProof/>
        </w:rPr>
        <w:fldChar w:fldCharType="separate"/>
      </w:r>
      <w:r w:rsidR="002875C4">
        <w:rPr>
          <w:noProof/>
        </w:rPr>
        <w:t>2</w:t>
      </w:r>
      <w:r w:rsidR="007F7A97">
        <w:rPr>
          <w:noProof/>
        </w:rPr>
        <w:fldChar w:fldCharType="end"/>
      </w:r>
      <w:bookmarkEnd w:id="2"/>
      <w:r>
        <w:t xml:space="preserve"> Amend decision as part of the Manage Authorisation process</w:t>
      </w:r>
    </w:p>
    <w:p w14:paraId="1A09FD3F" w14:textId="77777777" w:rsidR="007D2895" w:rsidRDefault="007D2895" w:rsidP="00D4106C"/>
    <w:p w14:paraId="3C2FBB77" w14:textId="4A666F8E" w:rsidR="00D4106C" w:rsidRDefault="007D2895" w:rsidP="00D4106C">
      <w:r>
        <w:lastRenderedPageBreak/>
        <w:t xml:space="preserve">Figure </w:t>
      </w:r>
      <w:r>
        <w:rPr>
          <w:noProof/>
        </w:rPr>
        <w:t>3</w:t>
      </w:r>
      <w:r w:rsidR="00704016">
        <w:t xml:space="preserve"> presents the high-level overview of the Amendment process.</w:t>
      </w:r>
    </w:p>
    <w:p w14:paraId="0E379CBA" w14:textId="77777777" w:rsidR="00D4106C" w:rsidRDefault="00D4106C" w:rsidP="00D4106C"/>
    <w:p w14:paraId="6EF0B350" w14:textId="5567A8C4" w:rsidR="007D2895" w:rsidRDefault="00CB0607" w:rsidP="007D2895">
      <w:pPr>
        <w:keepNext/>
        <w:jc w:val="center"/>
      </w:pPr>
      <w:r>
        <w:pict w14:anchorId="56A36507">
          <v:shape id="_x0000_i1027" type="#_x0000_t75" style="width:438.25pt;height:197.3pt">
            <v:imagedata r:id="rId14" o:title=""/>
          </v:shape>
        </w:pict>
      </w:r>
    </w:p>
    <w:p w14:paraId="1628BCB8" w14:textId="53F549C2" w:rsidR="000A308A" w:rsidRDefault="007D2895" w:rsidP="007D2895">
      <w:pPr>
        <w:pStyle w:val="Caption"/>
      </w:pPr>
      <w:bookmarkStart w:id="3" w:name="_Ref479255741"/>
      <w:r>
        <w:t xml:space="preserve">Figure </w:t>
      </w:r>
      <w:r w:rsidR="007F7A97">
        <w:rPr>
          <w:noProof/>
        </w:rPr>
        <w:fldChar w:fldCharType="begin"/>
      </w:r>
      <w:r w:rsidR="007F7A97">
        <w:rPr>
          <w:noProof/>
        </w:rPr>
        <w:instrText xml:space="preserve"> SEQ Figure \* ARABIC </w:instrText>
      </w:r>
      <w:r w:rsidR="007F7A97">
        <w:rPr>
          <w:noProof/>
        </w:rPr>
        <w:fldChar w:fldCharType="separate"/>
      </w:r>
      <w:r w:rsidR="002875C4">
        <w:rPr>
          <w:noProof/>
        </w:rPr>
        <w:t>3</w:t>
      </w:r>
      <w:r w:rsidR="007F7A97">
        <w:rPr>
          <w:noProof/>
        </w:rPr>
        <w:fldChar w:fldCharType="end"/>
      </w:r>
      <w:bookmarkEnd w:id="3"/>
      <w:r>
        <w:t xml:space="preserve"> </w:t>
      </w:r>
      <w:r w:rsidRPr="00A85703">
        <w:t>High level overview of the Amendment process</w:t>
      </w:r>
    </w:p>
    <w:p w14:paraId="44FAFACA" w14:textId="77777777" w:rsidR="00797640" w:rsidRDefault="00797640" w:rsidP="00797640"/>
    <w:p w14:paraId="6B73E023" w14:textId="5B4B37EA" w:rsidR="00797640" w:rsidRDefault="00797640" w:rsidP="00797640">
      <w:r>
        <w:t xml:space="preserve">The amendment process is started by the amendment </w:t>
      </w:r>
      <w:r w:rsidR="00F07D30">
        <w:t>need</w:t>
      </w:r>
      <w:r>
        <w:t xml:space="preserve">, which originates </w:t>
      </w:r>
      <w:r w:rsidR="0074672B">
        <w:t xml:space="preserve">from different stakeholders. </w:t>
      </w:r>
      <w:r w:rsidR="002E5BD4">
        <w:t xml:space="preserve">Table </w:t>
      </w:r>
      <w:r w:rsidR="002E5BD4">
        <w:rPr>
          <w:noProof/>
        </w:rPr>
        <w:t>1</w:t>
      </w:r>
      <w:r>
        <w:t xml:space="preserve"> lists all the reasons for amendment with </w:t>
      </w:r>
      <w:r w:rsidR="002E5BD4">
        <w:t xml:space="preserve">the </w:t>
      </w:r>
      <w:r>
        <w:t xml:space="preserve">highlighted originator. </w:t>
      </w:r>
    </w:p>
    <w:tbl>
      <w:tblPr>
        <w:tblStyle w:val="GridTable5Dark-Accent41"/>
        <w:tblW w:w="0" w:type="auto"/>
        <w:jc w:val="center"/>
        <w:tblLayout w:type="fixed"/>
        <w:tblLook w:val="0420" w:firstRow="1" w:lastRow="0" w:firstColumn="0" w:lastColumn="0" w:noHBand="0" w:noVBand="1"/>
      </w:tblPr>
      <w:tblGrid>
        <w:gridCol w:w="7196"/>
        <w:gridCol w:w="2092"/>
      </w:tblGrid>
      <w:tr w:rsidR="00797640" w14:paraId="7380A493" w14:textId="77777777" w:rsidTr="002E5BD4">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4E87CE42" w14:textId="1A3786E9" w:rsidR="00797640" w:rsidRDefault="00797640" w:rsidP="00887509">
            <w:pPr>
              <w:keepNext/>
              <w:spacing w:before="120"/>
              <w:jc w:val="left"/>
            </w:pPr>
            <w:r>
              <w:t xml:space="preserve">Reason for amendment </w:t>
            </w:r>
          </w:p>
        </w:tc>
        <w:tc>
          <w:tcPr>
            <w:tcW w:w="2092" w:type="dxa"/>
            <w:vAlign w:val="center"/>
          </w:tcPr>
          <w:p w14:paraId="4B00A9D8" w14:textId="66353689" w:rsidR="00797640" w:rsidRDefault="00797640" w:rsidP="00887509">
            <w:pPr>
              <w:keepNext/>
              <w:spacing w:before="120"/>
              <w:jc w:val="center"/>
            </w:pPr>
            <w:r>
              <w:t xml:space="preserve">Originator </w:t>
            </w:r>
          </w:p>
        </w:tc>
      </w:tr>
      <w:tr w:rsidR="00797640" w14:paraId="2BB14545" w14:textId="77777777" w:rsidTr="002E5BD4">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2EA049AF" w14:textId="7E20FFC1" w:rsidR="00797640" w:rsidRDefault="002E5BD4" w:rsidP="00887509">
            <w:pPr>
              <w:keepNext/>
              <w:spacing w:before="60" w:afterLines="60" w:after="144"/>
              <w:jc w:val="left"/>
            </w:pPr>
            <w:r>
              <w:t>Holder of authorisation wishes to amend the decision</w:t>
            </w:r>
          </w:p>
        </w:tc>
        <w:tc>
          <w:tcPr>
            <w:tcW w:w="2092" w:type="dxa"/>
            <w:vAlign w:val="center"/>
          </w:tcPr>
          <w:p w14:paraId="563789E0" w14:textId="56E2B8AE" w:rsidR="00797640" w:rsidRDefault="002E5BD4" w:rsidP="00887509">
            <w:pPr>
              <w:keepNext/>
              <w:spacing w:before="60" w:afterLines="60" w:after="144"/>
              <w:jc w:val="center"/>
            </w:pPr>
            <w:r>
              <w:t>Trader</w:t>
            </w:r>
          </w:p>
        </w:tc>
      </w:tr>
      <w:tr w:rsidR="00797640" w14:paraId="0E672DA8" w14:textId="77777777" w:rsidTr="002E5BD4">
        <w:trPr>
          <w:jc w:val="center"/>
        </w:trPr>
        <w:tc>
          <w:tcPr>
            <w:tcW w:w="7196" w:type="dxa"/>
          </w:tcPr>
          <w:p w14:paraId="4ABB3B50" w14:textId="29F9574F" w:rsidR="00797640" w:rsidRPr="00E75DB3" w:rsidRDefault="00440FA2" w:rsidP="00887509">
            <w:pPr>
              <w:keepNext/>
              <w:spacing w:before="60" w:afterLines="60" w:after="144"/>
              <w:jc w:val="left"/>
            </w:pPr>
            <w:r>
              <w:t>Holder submits i</w:t>
            </w:r>
            <w:r w:rsidR="002E5BD4">
              <w:t>nformation, which may influence the continuation</w:t>
            </w:r>
            <w:r w:rsidR="00786BE9">
              <w:t xml:space="preserve"> or content</w:t>
            </w:r>
            <w:r w:rsidR="002E5BD4">
              <w:t xml:space="preserve"> of the decision </w:t>
            </w:r>
          </w:p>
        </w:tc>
        <w:tc>
          <w:tcPr>
            <w:tcW w:w="2092" w:type="dxa"/>
            <w:vAlign w:val="center"/>
          </w:tcPr>
          <w:p w14:paraId="0BDF3E56" w14:textId="48CDA72B" w:rsidR="00797640" w:rsidRDefault="002E5BD4" w:rsidP="00887509">
            <w:pPr>
              <w:keepNext/>
              <w:spacing w:before="60" w:afterLines="60" w:after="144"/>
              <w:jc w:val="center"/>
            </w:pPr>
            <w:r>
              <w:t>Trader</w:t>
            </w:r>
          </w:p>
        </w:tc>
      </w:tr>
      <w:tr w:rsidR="00797640" w14:paraId="61A75904" w14:textId="77777777" w:rsidTr="002E5BD4">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274F334A" w14:textId="1C6F2C41" w:rsidR="00797640" w:rsidRPr="00E75DB3" w:rsidRDefault="002E5BD4" w:rsidP="00887509">
            <w:pPr>
              <w:keepNext/>
              <w:spacing w:before="60" w:afterLines="60" w:after="144"/>
              <w:jc w:val="left"/>
            </w:pPr>
            <w:r>
              <w:t>One or more condition</w:t>
            </w:r>
            <w:r w:rsidR="00440FA2">
              <w:t>s</w:t>
            </w:r>
            <w:r>
              <w:t xml:space="preserve"> were not or are no longer fulfilled </w:t>
            </w:r>
          </w:p>
        </w:tc>
        <w:tc>
          <w:tcPr>
            <w:tcW w:w="2092" w:type="dxa"/>
            <w:vAlign w:val="center"/>
          </w:tcPr>
          <w:p w14:paraId="246F6CA2" w14:textId="5EEBFF3B" w:rsidR="00797640" w:rsidRDefault="002E5BD4" w:rsidP="00887509">
            <w:pPr>
              <w:keepNext/>
              <w:spacing w:before="60" w:afterLines="60" w:after="144"/>
              <w:jc w:val="center"/>
            </w:pPr>
            <w:r>
              <w:t xml:space="preserve">Customs </w:t>
            </w:r>
            <w:r w:rsidR="00D94354">
              <w:t>o</w:t>
            </w:r>
            <w:r>
              <w:t>fficer</w:t>
            </w:r>
          </w:p>
        </w:tc>
      </w:tr>
      <w:tr w:rsidR="00797640" w14:paraId="7B88D589" w14:textId="77777777" w:rsidTr="002E5BD4">
        <w:trPr>
          <w:jc w:val="center"/>
        </w:trPr>
        <w:tc>
          <w:tcPr>
            <w:tcW w:w="7196" w:type="dxa"/>
          </w:tcPr>
          <w:p w14:paraId="55771E09" w14:textId="269A7D64" w:rsidR="00797640" w:rsidRPr="00E75DB3" w:rsidRDefault="002E5BD4" w:rsidP="00887509">
            <w:pPr>
              <w:keepNext/>
              <w:spacing w:before="60" w:afterLines="60" w:after="144"/>
              <w:jc w:val="left"/>
            </w:pPr>
            <w:r>
              <w:t>The decision does not conform with the legislation in force</w:t>
            </w:r>
          </w:p>
        </w:tc>
        <w:tc>
          <w:tcPr>
            <w:tcW w:w="2092" w:type="dxa"/>
          </w:tcPr>
          <w:p w14:paraId="55C82D90" w14:textId="313C6B87" w:rsidR="00797640" w:rsidRDefault="002E5BD4" w:rsidP="00887509">
            <w:pPr>
              <w:keepNext/>
              <w:spacing w:before="60" w:afterLines="60" w:after="144"/>
              <w:jc w:val="center"/>
            </w:pPr>
            <w:r>
              <w:t xml:space="preserve">Customs </w:t>
            </w:r>
            <w:r w:rsidR="00D94354">
              <w:t>o</w:t>
            </w:r>
            <w:r>
              <w:t>fficer</w:t>
            </w:r>
          </w:p>
        </w:tc>
      </w:tr>
      <w:tr w:rsidR="00797640" w14:paraId="0DD0BE4C" w14:textId="77777777" w:rsidTr="002E5BD4">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4B74DC02" w14:textId="3CAAD975" w:rsidR="00797640" w:rsidRPr="00826854" w:rsidRDefault="002E5BD4" w:rsidP="00887509">
            <w:pPr>
              <w:pStyle w:val="NormalWeb"/>
              <w:keepNext/>
              <w:spacing w:before="60" w:beforeAutospacing="0" w:afterLines="60" w:after="144" w:afterAutospacing="0"/>
              <w:rPr>
                <w:rFonts w:ascii="Arial" w:hAnsi="Arial"/>
                <w:sz w:val="20"/>
                <w:lang w:val="en-GB" w:eastAsia="en-US"/>
              </w:rPr>
            </w:pPr>
            <w:r w:rsidRPr="002E5BD4">
              <w:rPr>
                <w:rFonts w:ascii="Arial" w:hAnsi="Arial"/>
                <w:sz w:val="20"/>
                <w:lang w:val="en-GB" w:eastAsia="en-US"/>
              </w:rPr>
              <w:t xml:space="preserve">'Re-assess </w:t>
            </w:r>
            <w:r w:rsidR="00F9002B">
              <w:rPr>
                <w:rFonts w:ascii="Arial" w:hAnsi="Arial"/>
                <w:sz w:val="20"/>
                <w:lang w:val="en-GB" w:eastAsia="en-US"/>
              </w:rPr>
              <w:t>D</w:t>
            </w:r>
            <w:r w:rsidRPr="002E5BD4">
              <w:rPr>
                <w:rFonts w:ascii="Arial" w:hAnsi="Arial"/>
                <w:sz w:val="20"/>
                <w:lang w:val="en-GB" w:eastAsia="en-US"/>
              </w:rPr>
              <w:t xml:space="preserve">ecision', 'Suspend Decision' or 'Annul Decision' process ends and amendment is required </w:t>
            </w:r>
          </w:p>
        </w:tc>
        <w:tc>
          <w:tcPr>
            <w:tcW w:w="2092" w:type="dxa"/>
            <w:vAlign w:val="center"/>
          </w:tcPr>
          <w:p w14:paraId="5D292080" w14:textId="13467D6E" w:rsidR="00797640" w:rsidRDefault="002E5BD4" w:rsidP="00CB79B4">
            <w:pPr>
              <w:keepNext/>
              <w:spacing w:before="60" w:afterLines="60" w:after="144"/>
              <w:jc w:val="center"/>
            </w:pPr>
            <w:r>
              <w:t xml:space="preserve">Customs </w:t>
            </w:r>
            <w:r w:rsidR="00926BE0">
              <w:t xml:space="preserve">Decisions </w:t>
            </w:r>
            <w:r w:rsidR="00D94354">
              <w:t>s</w:t>
            </w:r>
            <w:r>
              <w:t>ystem</w:t>
            </w:r>
          </w:p>
        </w:tc>
      </w:tr>
    </w:tbl>
    <w:p w14:paraId="47BD919B" w14:textId="1532D0D7" w:rsidR="00797640" w:rsidRDefault="002E5BD4" w:rsidP="002E5BD4">
      <w:pPr>
        <w:pStyle w:val="Caption"/>
      </w:pPr>
      <w:bookmarkStart w:id="4" w:name="_Ref477183759"/>
      <w:r>
        <w:t xml:space="preserve">Table </w:t>
      </w:r>
      <w:r w:rsidR="007F7A97">
        <w:rPr>
          <w:noProof/>
        </w:rPr>
        <w:fldChar w:fldCharType="begin"/>
      </w:r>
      <w:r w:rsidR="007F7A97">
        <w:rPr>
          <w:noProof/>
        </w:rPr>
        <w:instrText xml:space="preserve"> SEQ Table \* ARABIC </w:instrText>
      </w:r>
      <w:r w:rsidR="007F7A97">
        <w:rPr>
          <w:noProof/>
        </w:rPr>
        <w:fldChar w:fldCharType="separate"/>
      </w:r>
      <w:r w:rsidR="002875C4">
        <w:rPr>
          <w:noProof/>
        </w:rPr>
        <w:t>1</w:t>
      </w:r>
      <w:r w:rsidR="007F7A97">
        <w:rPr>
          <w:noProof/>
        </w:rPr>
        <w:fldChar w:fldCharType="end"/>
      </w:r>
      <w:bookmarkEnd w:id="4"/>
      <w:r>
        <w:t xml:space="preserve"> Reasons for amendment of the authorisation</w:t>
      </w:r>
    </w:p>
    <w:p w14:paraId="04961209" w14:textId="77777777" w:rsidR="003A68D2" w:rsidRDefault="003A68D2" w:rsidP="003A68D2"/>
    <w:p w14:paraId="314A2F66" w14:textId="5D04426A" w:rsidR="003A68D2" w:rsidRDefault="003A68D2" w:rsidP="003A68D2">
      <w:r>
        <w:t xml:space="preserve">When one or more conditions for an authorisation were not or are no longer fulfilled, or when a decision does not conform with the legislation in force, the </w:t>
      </w:r>
      <w:r w:rsidR="00D94354">
        <w:t>c</w:t>
      </w:r>
      <w:r w:rsidR="00C21CBC">
        <w:t>ustoms</w:t>
      </w:r>
      <w:r>
        <w:t xml:space="preserve"> </w:t>
      </w:r>
      <w:r w:rsidR="00D94354">
        <w:t>o</w:t>
      </w:r>
      <w:r>
        <w:t xml:space="preserve">fficer registers the reasons for the intention to amend the decision. In addition, the </w:t>
      </w:r>
      <w:r w:rsidR="00D94354">
        <w:t>c</w:t>
      </w:r>
      <w:r>
        <w:t xml:space="preserve">ustoms </w:t>
      </w:r>
      <w:r w:rsidR="00D94354">
        <w:t>o</w:t>
      </w:r>
      <w:r>
        <w:t xml:space="preserve">fficer will register the intended amendment. </w:t>
      </w:r>
    </w:p>
    <w:p w14:paraId="292BD4CE" w14:textId="21ABB49E" w:rsidR="002E215A" w:rsidRDefault="002E215A" w:rsidP="003A68D2">
      <w:r>
        <w:t xml:space="preserve">If the amendment was not requested by the </w:t>
      </w:r>
      <w:r w:rsidR="00D94354">
        <w:t>t</w:t>
      </w:r>
      <w:r>
        <w:t xml:space="preserve">rader, the process continues with the Right to be </w:t>
      </w:r>
      <w:r w:rsidR="00064ADF">
        <w:t xml:space="preserve">Heard </w:t>
      </w:r>
      <w:r>
        <w:t>process</w:t>
      </w:r>
      <w:r w:rsidR="00786BE9">
        <w:t xml:space="preserve"> in order to allow the </w:t>
      </w:r>
      <w:r w:rsidR="00D94354">
        <w:t>t</w:t>
      </w:r>
      <w:r w:rsidR="00786BE9">
        <w:t>rader to express his point of view</w:t>
      </w:r>
      <w:r>
        <w:t xml:space="preserve">. After the Right to be </w:t>
      </w:r>
      <w:r w:rsidR="00064ADF">
        <w:t xml:space="preserve">Heard </w:t>
      </w:r>
      <w:r>
        <w:t xml:space="preserve">process the </w:t>
      </w:r>
      <w:r w:rsidR="00D94354">
        <w:t>c</w:t>
      </w:r>
      <w:r>
        <w:t xml:space="preserve">ustoms </w:t>
      </w:r>
      <w:r w:rsidR="00D94354">
        <w:t>o</w:t>
      </w:r>
      <w:r>
        <w:t xml:space="preserve">fficer registers if the decision is still to be amended or not. If no amendment is required, the </w:t>
      </w:r>
      <w:r w:rsidR="00D94354">
        <w:t>t</w:t>
      </w:r>
      <w:r>
        <w:t xml:space="preserve">rader is notified that the decision remains active. </w:t>
      </w:r>
    </w:p>
    <w:p w14:paraId="3FE699E5" w14:textId="102B6A78" w:rsidR="00A459DE" w:rsidRDefault="00A459DE" w:rsidP="00A459DE">
      <w:r>
        <w:t xml:space="preserve">When the decision is still to be amended, the </w:t>
      </w:r>
      <w:r w:rsidR="00D94354">
        <w:t>c</w:t>
      </w:r>
      <w:r>
        <w:t xml:space="preserve">ustoms </w:t>
      </w:r>
      <w:r w:rsidR="00D94354">
        <w:t>o</w:t>
      </w:r>
      <w:r>
        <w:t xml:space="preserve">fficer will register the amended decision. When the legitimate interests of the </w:t>
      </w:r>
      <w:r w:rsidR="00D94354">
        <w:t>t</w:t>
      </w:r>
      <w:r>
        <w:t xml:space="preserve">rader so require, the </w:t>
      </w:r>
      <w:r w:rsidR="00D94354">
        <w:t>c</w:t>
      </w:r>
      <w:r>
        <w:t xml:space="preserve">ustoms </w:t>
      </w:r>
      <w:r w:rsidR="00D94354">
        <w:t>o</w:t>
      </w:r>
      <w:r>
        <w:t xml:space="preserve">fficer may defer the date on which amendment takes effect up to one year. In the other cases, the amendment takes effect directly. </w:t>
      </w:r>
    </w:p>
    <w:p w14:paraId="373BD849" w14:textId="77777777" w:rsidR="00C87B69" w:rsidRDefault="00C87B69" w:rsidP="00A459DE"/>
    <w:p w14:paraId="0C3E94F3" w14:textId="533CE8D7" w:rsidR="003A68D2" w:rsidRDefault="00D64DD2" w:rsidP="003A68D2">
      <w:r>
        <w:rPr>
          <w:noProof/>
          <w:lang w:eastAsia="en-GB"/>
        </w:rPr>
        <w:lastRenderedPageBreak/>
        <mc:AlternateContent>
          <mc:Choice Requires="wps">
            <w:drawing>
              <wp:anchor distT="107950" distB="107950" distL="215900" distR="114300" simplePos="0" relativeHeight="251658752" behindDoc="0" locked="0" layoutInCell="1" allowOverlap="1" wp14:anchorId="31E3F895" wp14:editId="2B0C0154">
                <wp:simplePos x="0" y="0"/>
                <wp:positionH relativeFrom="column">
                  <wp:posOffset>14605</wp:posOffset>
                </wp:positionH>
                <wp:positionV relativeFrom="paragraph">
                  <wp:posOffset>742950</wp:posOffset>
                </wp:positionV>
                <wp:extent cx="5748655" cy="1085850"/>
                <wp:effectExtent l="19050" t="19050" r="2349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08585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9C6E809" w14:textId="076E2973" w:rsidR="00D64DD2" w:rsidRPr="006602E5" w:rsidRDefault="00D64DD2" w:rsidP="00D64DD2">
                            <w:pPr>
                              <w:rPr>
                                <w:color w:val="FFFFFF" w:themeColor="background1"/>
                                <w:sz w:val="18"/>
                              </w:rPr>
                            </w:pPr>
                            <w:r w:rsidRPr="006602E5">
                              <w:rPr>
                                <w:noProof/>
                                <w:color w:val="FFFFFF" w:themeColor="background1"/>
                                <w:sz w:val="18"/>
                                <w:lang w:eastAsia="en-GB"/>
                              </w:rPr>
                              <w:drawing>
                                <wp:inline distT="0" distB="0" distL="0" distR="0" wp14:anchorId="1EC74153" wp14:editId="5D21BF0E">
                                  <wp:extent cx="360000" cy="360000"/>
                                  <wp:effectExtent l="0" t="0" r="0" b="2540"/>
                                  <wp:docPr id="11"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60000" cy="360000"/>
                                          </a:xfrm>
                                          <a:prstGeom prst="rect">
                                            <a:avLst/>
                                          </a:prstGeom>
                                        </pic:spPr>
                                      </pic:pic>
                                    </a:graphicData>
                                  </a:graphic>
                                </wp:inline>
                              </w:drawing>
                            </w:r>
                            <w:r w:rsidRPr="00D64DD2">
                              <w:rPr>
                                <w:rFonts w:cs="Arial"/>
                                <w:color w:val="806000" w:themeColor="accent4" w:themeShade="80"/>
                                <w:szCs w:val="20"/>
                              </w:rPr>
                              <w:t xml:space="preserve"> </w:t>
                            </w:r>
                            <w:r w:rsidRPr="005465A0">
                              <w:rPr>
                                <w:color w:val="FFFFFF" w:themeColor="background1"/>
                              </w:rPr>
                              <w:t xml:space="preserve">For RSS, in case of an amendment that concerns names of vessels and/or first port and/or ports of call, the date of effect </w:t>
                            </w:r>
                            <w:r w:rsidR="002E1DB8">
                              <w:rPr>
                                <w:color w:val="FFFFFF" w:themeColor="background1"/>
                              </w:rPr>
                              <w:t>must</w:t>
                            </w:r>
                            <w:r w:rsidR="002E1DB8" w:rsidRPr="005465A0">
                              <w:rPr>
                                <w:color w:val="FFFFFF" w:themeColor="background1"/>
                              </w:rPr>
                              <w:t xml:space="preserve"> </w:t>
                            </w:r>
                            <w:r w:rsidRPr="005465A0">
                              <w:rPr>
                                <w:color w:val="FFFFFF" w:themeColor="background1"/>
                              </w:rPr>
                              <w:t xml:space="preserve">be </w:t>
                            </w:r>
                            <w:proofErr w:type="gramStart"/>
                            <w:r w:rsidRPr="005465A0">
                              <w:rPr>
                                <w:color w:val="FFFFFF" w:themeColor="background1"/>
                              </w:rPr>
                              <w:t>maximum</w:t>
                            </w:r>
                            <w:proofErr w:type="gramEnd"/>
                            <w:r w:rsidRPr="005465A0">
                              <w:rPr>
                                <w:color w:val="FFFFFF" w:themeColor="background1"/>
                              </w:rPr>
                              <w:t xml:space="preserve"> one working day after receiving the request.</w:t>
                            </w:r>
                            <w:r w:rsidR="002E1DB8">
                              <w:rPr>
                                <w:color w:val="FFFFFF" w:themeColor="background1"/>
                              </w:rPr>
                              <w:t xml:space="preserve"> Therefore, once the trader requested the amendment, it is effective immediately (without confirmation needed by the customs authorities).</w:t>
                            </w:r>
                          </w:p>
                          <w:p w14:paraId="6EC06DC5" w14:textId="77777777" w:rsidR="00D64DD2" w:rsidRPr="006602E5" w:rsidRDefault="00D64DD2" w:rsidP="00D64DD2">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E3F895" id="_x0000_s1026" style="position:absolute;left:0;text-align:left;margin-left:1.15pt;margin-top:58.5pt;width:452.65pt;height:85.5pt;z-index:251658752;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" fillcolor="#002060" strokecolor="#d9e2f3 [664]" strokeweight="2.25pt">
                <v:stroke joinstyle="miter"/>
                <v:textbox inset="2.5mm,0,,0">
                  <w:txbxContent>
                    <w:p w14:paraId="49C6E809" w14:textId="076E2973" w:rsidR="00D64DD2" w:rsidRPr="006602E5" w:rsidRDefault="00D64DD2" w:rsidP="00D64DD2">
                      <w:pPr>
                        <w:rPr>
                          <w:color w:val="FFFFFF" w:themeColor="background1"/>
                          <w:sz w:val="18"/>
                        </w:rPr>
                      </w:pPr>
                      <w:r w:rsidRPr="006602E5">
                        <w:rPr>
                          <w:noProof/>
                          <w:color w:val="FFFFFF" w:themeColor="background1"/>
                          <w:sz w:val="18"/>
                          <w:lang w:eastAsia="en-GB"/>
                        </w:rPr>
                        <w:drawing>
                          <wp:inline distT="0" distB="0" distL="0" distR="0" wp14:anchorId="1EC74153" wp14:editId="5D21BF0E">
                            <wp:extent cx="360000" cy="360000"/>
                            <wp:effectExtent l="0" t="0" r="0" b="2540"/>
                            <wp:docPr id="11"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D64DD2">
                        <w:rPr>
                          <w:rFonts w:cs="Arial"/>
                          <w:color w:val="806000" w:themeColor="accent4" w:themeShade="80"/>
                          <w:szCs w:val="20"/>
                        </w:rPr>
                        <w:t xml:space="preserve"> </w:t>
                      </w:r>
                      <w:r w:rsidRPr="005465A0">
                        <w:rPr>
                          <w:color w:val="FFFFFF" w:themeColor="background1"/>
                        </w:rPr>
                        <w:t xml:space="preserve">For RSS, in case of an amendment that concerns names of vessels and/or first port and/or ports of call, the date of effect </w:t>
                      </w:r>
                      <w:r w:rsidR="002E1DB8">
                        <w:rPr>
                          <w:color w:val="FFFFFF" w:themeColor="background1"/>
                        </w:rPr>
                        <w:t>must</w:t>
                      </w:r>
                      <w:r w:rsidR="002E1DB8" w:rsidRPr="005465A0">
                        <w:rPr>
                          <w:color w:val="FFFFFF" w:themeColor="background1"/>
                        </w:rPr>
                        <w:t xml:space="preserve"> </w:t>
                      </w:r>
                      <w:r w:rsidRPr="005465A0">
                        <w:rPr>
                          <w:color w:val="FFFFFF" w:themeColor="background1"/>
                        </w:rPr>
                        <w:t>be maximum one working day after receiving the request.</w:t>
                      </w:r>
                      <w:r w:rsidR="002E1DB8">
                        <w:rPr>
                          <w:color w:val="FFFFFF" w:themeColor="background1"/>
                        </w:rPr>
                        <w:t xml:space="preserve"> Therefore, once the trader requested the amendment, it is effective immediately (without confirmation needed by the customs authorities).</w:t>
                      </w:r>
                    </w:p>
                    <w:p w14:paraId="6EC06DC5" w14:textId="77777777" w:rsidR="00D64DD2" w:rsidRPr="006602E5" w:rsidRDefault="00D64DD2" w:rsidP="00D64DD2">
                      <w:pPr>
                        <w:rPr>
                          <w:sz w:val="18"/>
                        </w:rPr>
                      </w:pPr>
                    </w:p>
                  </w:txbxContent>
                </v:textbox>
                <w10:wrap type="square"/>
              </v:roundrect>
            </w:pict>
          </mc:Fallback>
        </mc:AlternateContent>
      </w:r>
      <w:r w:rsidR="000C673C">
        <w:t xml:space="preserve">Once the decision is amended, the </w:t>
      </w:r>
      <w:r w:rsidR="00D94354">
        <w:t>t</w:t>
      </w:r>
      <w:r w:rsidR="000C673C">
        <w:t xml:space="preserve">rader is automatically notified about the amendment. If more than one member state is involved in the decision, they will </w:t>
      </w:r>
      <w:r w:rsidR="001659C2">
        <w:t xml:space="preserve">also </w:t>
      </w:r>
      <w:r w:rsidR="000C673C">
        <w:t xml:space="preserve">be automatically informed about the amendment. </w:t>
      </w:r>
    </w:p>
    <w:p w14:paraId="7688FB98" w14:textId="3803A00A" w:rsidR="000534FF" w:rsidRPr="003A68D2" w:rsidRDefault="002E1DB8" w:rsidP="000534FF">
      <w:r>
        <w:rPr>
          <w:noProof/>
          <w:lang w:eastAsia="en-GB"/>
        </w:rPr>
        <mc:AlternateContent>
          <mc:Choice Requires="wps">
            <w:drawing>
              <wp:inline distT="0" distB="0" distL="0" distR="0" wp14:anchorId="7E1F83CF" wp14:editId="1A1096C9">
                <wp:extent cx="5748793" cy="2725515"/>
                <wp:effectExtent l="19050" t="19050" r="23495"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7669EC8" w14:textId="77777777" w:rsidR="002E1DB8" w:rsidRPr="00F07D30" w:rsidRDefault="002E1DB8" w:rsidP="002E1DB8">
                            <w:pPr>
                              <w:pStyle w:val="NormalWeb"/>
                              <w:spacing w:before="0" w:beforeAutospacing="0" w:after="0" w:afterAutospacing="0"/>
                              <w:rPr>
                                <w:rFonts w:ascii="Arial" w:hAnsi="Arial" w:cs="Arial"/>
                                <w:color w:val="806000" w:themeColor="accent4" w:themeShade="80"/>
                                <w:sz w:val="20"/>
                                <w:szCs w:val="20"/>
                                <w:lang w:val="en-GB"/>
                              </w:rPr>
                            </w:pPr>
                            <w:r w:rsidRPr="00F07D30">
                              <w:rPr>
                                <w:rFonts w:ascii="Arial" w:hAnsi="Arial" w:cs="Arial"/>
                                <w:noProof/>
                                <w:color w:val="806000" w:themeColor="accent4" w:themeShade="80"/>
                                <w:position w:val="-20"/>
                                <w:sz w:val="20"/>
                                <w:szCs w:val="20"/>
                                <w:lang w:val="en-GB" w:eastAsia="en-GB"/>
                              </w:rPr>
                              <w:drawing>
                                <wp:inline distT="0" distB="0" distL="0" distR="0" wp14:anchorId="501FAF2D" wp14:editId="6A902C62">
                                  <wp:extent cx="360000" cy="360000"/>
                                  <wp:effectExtent l="0" t="0" r="2540" b="2540"/>
                                  <wp:docPr id="4"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360000" cy="360000"/>
                                          </a:xfrm>
                                          <a:prstGeom prst="rect">
                                            <a:avLst/>
                                          </a:prstGeom>
                                        </pic:spPr>
                                      </pic:pic>
                                    </a:graphicData>
                                  </a:graphic>
                                </wp:inline>
                              </w:drawing>
                            </w:r>
                            <w:r w:rsidRPr="00F07D30">
                              <w:rPr>
                                <w:rFonts w:ascii="Arial" w:hAnsi="Arial" w:cs="Arial"/>
                                <w:color w:val="FFFFFF" w:themeColor="background1"/>
                                <w:sz w:val="20"/>
                                <w:szCs w:val="20"/>
                                <w:lang w:val="en-GB"/>
                              </w:rPr>
                              <w:t xml:space="preserve"> </w:t>
                            </w:r>
                            <w:r>
                              <w:rPr>
                                <w:rFonts w:ascii="Arial" w:hAnsi="Arial" w:cs="Arial"/>
                                <w:color w:val="806000" w:themeColor="accent4" w:themeShade="80"/>
                                <w:sz w:val="20"/>
                                <w:szCs w:val="20"/>
                                <w:lang w:val="en-GB"/>
                              </w:rPr>
                              <w:t>When the amendment affects a suspended decision, the suspension is ended and the authorisation status is updated to “active” as soon as the amendment process ends</w:t>
                            </w:r>
                            <w:r w:rsidRPr="00F07D30">
                              <w:rPr>
                                <w:rFonts w:ascii="Arial" w:hAnsi="Arial" w:cs="Arial"/>
                                <w:color w:val="806000" w:themeColor="accent4" w:themeShade="80"/>
                                <w:sz w:val="20"/>
                                <w:szCs w:val="20"/>
                                <w:lang w:val="en-GB"/>
                              </w:rPr>
                              <w:t xml:space="preserve">. </w:t>
                            </w:r>
                          </w:p>
                          <w:p w14:paraId="76E631F9" w14:textId="77777777" w:rsidR="002E1DB8" w:rsidRPr="00F201C7" w:rsidRDefault="002E1DB8" w:rsidP="002E1DB8">
                            <w:pPr>
                              <w:spacing w:after="0"/>
                              <w:rPr>
                                <w:color w:val="806000" w:themeColor="accent4" w:themeShade="80"/>
                                <w:sz w:val="18"/>
                              </w:rPr>
                            </w:pPr>
                          </w:p>
                        </w:txbxContent>
                      </wps:txbx>
                      <wps:bodyPr rot="0" vert="horz" wrap="square" lIns="90000" tIns="0" rIns="91440" bIns="0" anchor="ctr"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1F83CF" id="Text Box 2" o:spid="_x0000_s1027"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BHnthqjwIAAHI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37669EC8" w14:textId="77777777" w:rsidR="002E1DB8" w:rsidRPr="00F07D30" w:rsidRDefault="002E1DB8" w:rsidP="002E1DB8">
                      <w:pPr>
                        <w:pStyle w:val="NormalWeb"/>
                        <w:spacing w:before="0" w:beforeAutospacing="0" w:after="0" w:afterAutospacing="0"/>
                        <w:rPr>
                          <w:rFonts w:ascii="Arial" w:hAnsi="Arial" w:cs="Arial"/>
                          <w:color w:val="806000" w:themeColor="accent4" w:themeShade="80"/>
                          <w:sz w:val="20"/>
                          <w:szCs w:val="20"/>
                          <w:lang w:val="en-GB"/>
                        </w:rPr>
                      </w:pPr>
                      <w:r w:rsidRPr="00F07D30">
                        <w:rPr>
                          <w:rFonts w:ascii="Arial" w:hAnsi="Arial" w:cs="Arial"/>
                          <w:noProof/>
                          <w:color w:val="806000" w:themeColor="accent4" w:themeShade="80"/>
                          <w:position w:val="-20"/>
                          <w:sz w:val="20"/>
                          <w:szCs w:val="20"/>
                          <w:lang w:val="en-GB" w:eastAsia="en-GB"/>
                        </w:rPr>
                        <w:drawing>
                          <wp:inline distT="0" distB="0" distL="0" distR="0" wp14:anchorId="501FAF2D" wp14:editId="6A902C62">
                            <wp:extent cx="360000" cy="360000"/>
                            <wp:effectExtent l="0" t="0" r="2540" b="2540"/>
                            <wp:docPr id="4"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0000" cy="360000"/>
                                    </a:xfrm>
                                    <a:prstGeom prst="rect">
                                      <a:avLst/>
                                    </a:prstGeom>
                                  </pic:spPr>
                                </pic:pic>
                              </a:graphicData>
                            </a:graphic>
                          </wp:inline>
                        </w:drawing>
                      </w:r>
                      <w:r w:rsidRPr="00F07D30">
                        <w:rPr>
                          <w:rFonts w:ascii="Arial" w:hAnsi="Arial" w:cs="Arial"/>
                          <w:color w:val="FFFFFF" w:themeColor="background1"/>
                          <w:sz w:val="20"/>
                          <w:szCs w:val="20"/>
                          <w:lang w:val="en-GB"/>
                        </w:rPr>
                        <w:t xml:space="preserve"> </w:t>
                      </w:r>
                      <w:r>
                        <w:rPr>
                          <w:rFonts w:ascii="Arial" w:hAnsi="Arial" w:cs="Arial"/>
                          <w:color w:val="806000" w:themeColor="accent4" w:themeShade="80"/>
                          <w:sz w:val="20"/>
                          <w:szCs w:val="20"/>
                          <w:lang w:val="en-GB"/>
                        </w:rPr>
                        <w:t xml:space="preserve">When the amendment affects a suspended decision, the suspension is </w:t>
                      </w:r>
                      <w:r>
                        <w:rPr>
                          <w:rFonts w:ascii="Arial" w:hAnsi="Arial" w:cs="Arial"/>
                          <w:color w:val="806000" w:themeColor="accent4" w:themeShade="80"/>
                          <w:sz w:val="20"/>
                          <w:szCs w:val="20"/>
                          <w:lang w:val="en-GB"/>
                        </w:rPr>
                        <w:t>ended and the authorisation status is updated to “active” as soon as the amendment process ends</w:t>
                      </w:r>
                      <w:r w:rsidRPr="00F07D30">
                        <w:rPr>
                          <w:rFonts w:ascii="Arial" w:hAnsi="Arial" w:cs="Arial"/>
                          <w:color w:val="806000" w:themeColor="accent4" w:themeShade="80"/>
                          <w:sz w:val="20"/>
                          <w:szCs w:val="20"/>
                          <w:lang w:val="en-GB"/>
                        </w:rPr>
                        <w:t xml:space="preserve">. </w:t>
                      </w:r>
                    </w:p>
                    <w:p w14:paraId="76E631F9" w14:textId="77777777" w:rsidR="002E1DB8" w:rsidRPr="00F201C7" w:rsidRDefault="002E1DB8" w:rsidP="002E1DB8">
                      <w:pPr>
                        <w:spacing w:after="0"/>
                        <w:rPr>
                          <w:color w:val="806000" w:themeColor="accent4" w:themeShade="80"/>
                          <w:sz w:val="18"/>
                        </w:rPr>
                      </w:pPr>
                    </w:p>
                  </w:txbxContent>
                </v:textbox>
                <w10:anchorlock/>
              </v:roundrect>
            </w:pict>
          </mc:Fallback>
        </mc:AlternateContent>
      </w:r>
    </w:p>
    <w:sectPr w:rsidR="000534FF" w:rsidRPr="003A68D2" w:rsidSect="0056695E">
      <w:headerReference w:type="default" r:id="rId21"/>
      <w:footerReference w:type="default" r:id="rId22"/>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A41F" w14:textId="77777777" w:rsidR="00895BA5" w:rsidRDefault="00895BA5">
      <w:r>
        <w:separator/>
      </w:r>
    </w:p>
  </w:endnote>
  <w:endnote w:type="continuationSeparator" w:id="0">
    <w:p w14:paraId="50F137A7" w14:textId="77777777" w:rsidR="00895BA5" w:rsidRDefault="0089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1BE6663D" w14:textId="1586DA3A" w:rsidR="00BF1F64" w:rsidRDefault="00BF1F64" w:rsidP="00BF1F64">
        <w:pPr>
          <w:pStyle w:val="Footer"/>
          <w:jc w:val="center"/>
        </w:pPr>
        <w:r>
          <w:fldChar w:fldCharType="begin"/>
        </w:r>
        <w:r>
          <w:instrText xml:space="preserve"> PAGE   \* MERGEFORMAT </w:instrText>
        </w:r>
        <w:r>
          <w:fldChar w:fldCharType="separate"/>
        </w:r>
        <w:r w:rsidR="00CB060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A26C4" w14:textId="77777777" w:rsidR="00895BA5" w:rsidRDefault="00895BA5">
      <w:r>
        <w:separator/>
      </w:r>
    </w:p>
  </w:footnote>
  <w:footnote w:type="continuationSeparator" w:id="0">
    <w:p w14:paraId="623262FF" w14:textId="77777777" w:rsidR="00895BA5" w:rsidRDefault="00895BA5">
      <w:r>
        <w:continuationSeparator/>
      </w:r>
    </w:p>
  </w:footnote>
  <w:footnote w:id="1">
    <w:p w14:paraId="010AC3F3" w14:textId="6E9BD6E5" w:rsidR="00DE760D" w:rsidRDefault="00DE760D">
      <w:pPr>
        <w:pStyle w:val="FootnoteText"/>
      </w:pPr>
      <w:r>
        <w:rPr>
          <w:rStyle w:val="FootnoteReference"/>
        </w:rPr>
        <w:footnoteRef/>
      </w:r>
      <w:r>
        <w:t xml:space="preserve"> From a business point of view, the status effectively does not change for a regular amendment: the authorisation remains active. Nevertheless, from a technical point of view, the restriction must be taken into account because the amendment consists in the creation of a new "Active" status which must, at least, live for one full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01B609CE"/>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0358F0"/>
    <w:multiLevelType w:val="hybridMultilevel"/>
    <w:tmpl w:val="4CDABC42"/>
    <w:lvl w:ilvl="0" w:tplc="9162D1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nsid w:val="7BBA5975"/>
    <w:multiLevelType w:val="hybridMultilevel"/>
    <w:tmpl w:val="7EDC4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8"/>
  </w:num>
  <w:num w:numId="9">
    <w:abstractNumId w:val="31"/>
  </w:num>
  <w:num w:numId="10">
    <w:abstractNumId w:val="28"/>
  </w:num>
  <w:num w:numId="11">
    <w:abstractNumId w:val="21"/>
  </w:num>
  <w:num w:numId="12">
    <w:abstractNumId w:val="35"/>
  </w:num>
  <w:num w:numId="13">
    <w:abstractNumId w:val="19"/>
  </w:num>
  <w:num w:numId="14">
    <w:abstractNumId w:val="13"/>
  </w:num>
  <w:num w:numId="15">
    <w:abstractNumId w:val="17"/>
  </w:num>
  <w:num w:numId="16">
    <w:abstractNumId w:val="5"/>
  </w:num>
  <w:num w:numId="17">
    <w:abstractNumId w:val="14"/>
  </w:num>
  <w:num w:numId="18">
    <w:abstractNumId w:val="25"/>
  </w:num>
  <w:num w:numId="19">
    <w:abstractNumId w:val="43"/>
  </w:num>
  <w:num w:numId="20">
    <w:abstractNumId w:val="15"/>
  </w:num>
  <w:num w:numId="21">
    <w:abstractNumId w:val="37"/>
  </w:num>
  <w:num w:numId="22">
    <w:abstractNumId w:val="24"/>
  </w:num>
  <w:num w:numId="23">
    <w:abstractNumId w:val="34"/>
  </w:num>
  <w:num w:numId="24">
    <w:abstractNumId w:val="26"/>
  </w:num>
  <w:num w:numId="25">
    <w:abstractNumId w:val="32"/>
  </w:num>
  <w:num w:numId="26">
    <w:abstractNumId w:val="39"/>
  </w:num>
  <w:num w:numId="27">
    <w:abstractNumId w:val="30"/>
  </w:num>
  <w:num w:numId="28">
    <w:abstractNumId w:val="7"/>
  </w:num>
  <w:num w:numId="29">
    <w:abstractNumId w:val="12"/>
  </w:num>
  <w:num w:numId="30">
    <w:abstractNumId w:val="33"/>
  </w:num>
  <w:num w:numId="31">
    <w:abstractNumId w:val="40"/>
  </w:num>
  <w:num w:numId="32">
    <w:abstractNumId w:val="41"/>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7"/>
  </w:num>
  <w:num w:numId="40">
    <w:abstractNumId w:val="36"/>
  </w:num>
  <w:num w:numId="41">
    <w:abstractNumId w:val="6"/>
  </w:num>
  <w:num w:numId="42">
    <w:abstractNumId w:val="8"/>
  </w:num>
  <w:num w:numId="43">
    <w:abstractNumId w:val="42"/>
  </w:num>
  <w:num w:numId="44">
    <w:abstractNumId w:val="29"/>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D2"/>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4FF"/>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4ADF"/>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89C"/>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308A"/>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3812"/>
    <w:rsid w:val="000C413C"/>
    <w:rsid w:val="000C46F4"/>
    <w:rsid w:val="000C4D60"/>
    <w:rsid w:val="000C528D"/>
    <w:rsid w:val="000C629E"/>
    <w:rsid w:val="000C673C"/>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59C2"/>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21D4"/>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5AD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3EAF"/>
    <w:rsid w:val="001E4146"/>
    <w:rsid w:val="001E4C32"/>
    <w:rsid w:val="001E4C7A"/>
    <w:rsid w:val="001E545F"/>
    <w:rsid w:val="001E6028"/>
    <w:rsid w:val="001E65B2"/>
    <w:rsid w:val="001E6EBB"/>
    <w:rsid w:val="001F1184"/>
    <w:rsid w:val="001F171B"/>
    <w:rsid w:val="001F1929"/>
    <w:rsid w:val="001F22F4"/>
    <w:rsid w:val="001F23E7"/>
    <w:rsid w:val="001F2F73"/>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5C4"/>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2A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0AD"/>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DB8"/>
    <w:rsid w:val="002E1FD5"/>
    <w:rsid w:val="002E215A"/>
    <w:rsid w:val="002E268C"/>
    <w:rsid w:val="002E296D"/>
    <w:rsid w:val="002E2F33"/>
    <w:rsid w:val="002E2FF9"/>
    <w:rsid w:val="002E3F48"/>
    <w:rsid w:val="002E4032"/>
    <w:rsid w:val="002E4864"/>
    <w:rsid w:val="002E4934"/>
    <w:rsid w:val="002E4AD8"/>
    <w:rsid w:val="002E54B6"/>
    <w:rsid w:val="002E55F0"/>
    <w:rsid w:val="002E57F3"/>
    <w:rsid w:val="002E5ACC"/>
    <w:rsid w:val="002E5BD4"/>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31E"/>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99"/>
    <w:rsid w:val="003A42B2"/>
    <w:rsid w:val="003A448B"/>
    <w:rsid w:val="003A49E9"/>
    <w:rsid w:val="003A548E"/>
    <w:rsid w:val="003A6510"/>
    <w:rsid w:val="003A68D2"/>
    <w:rsid w:val="003A6AFF"/>
    <w:rsid w:val="003A76E3"/>
    <w:rsid w:val="003A7A53"/>
    <w:rsid w:val="003A7E2D"/>
    <w:rsid w:val="003B0294"/>
    <w:rsid w:val="003B0AE3"/>
    <w:rsid w:val="003B0E47"/>
    <w:rsid w:val="003B0EDC"/>
    <w:rsid w:val="003B0EE0"/>
    <w:rsid w:val="003B143B"/>
    <w:rsid w:val="003B148F"/>
    <w:rsid w:val="003B1B5C"/>
    <w:rsid w:val="003B2513"/>
    <w:rsid w:val="003B2629"/>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004"/>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699"/>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0FA2"/>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6AC1"/>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CE"/>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3BC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5BF8"/>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7F8"/>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7D8"/>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2DD4"/>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6B4"/>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5A0"/>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B7F1D"/>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1152"/>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8C6"/>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514"/>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0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A19"/>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2B"/>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6BE9"/>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640"/>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4A5"/>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895"/>
    <w:rsid w:val="007D2C54"/>
    <w:rsid w:val="007D3111"/>
    <w:rsid w:val="007D3FD5"/>
    <w:rsid w:val="007D41CC"/>
    <w:rsid w:val="007D47AA"/>
    <w:rsid w:val="007D4D89"/>
    <w:rsid w:val="007D4DCB"/>
    <w:rsid w:val="007D5310"/>
    <w:rsid w:val="007D5596"/>
    <w:rsid w:val="007D585C"/>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7F7A97"/>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5C2"/>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685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592"/>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77E5A"/>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509"/>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5BA5"/>
    <w:rsid w:val="0089643E"/>
    <w:rsid w:val="00897067"/>
    <w:rsid w:val="008973C3"/>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19F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BE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064"/>
    <w:rsid w:val="009831F8"/>
    <w:rsid w:val="009839A5"/>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B6A"/>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987"/>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9DE"/>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7A9"/>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2848"/>
    <w:rsid w:val="00AC32B8"/>
    <w:rsid w:val="00AC3491"/>
    <w:rsid w:val="00AC3595"/>
    <w:rsid w:val="00AC3849"/>
    <w:rsid w:val="00AC3A95"/>
    <w:rsid w:val="00AC3AB3"/>
    <w:rsid w:val="00AC3C4D"/>
    <w:rsid w:val="00AC4DE5"/>
    <w:rsid w:val="00AC55F1"/>
    <w:rsid w:val="00AC59DA"/>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10C"/>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1F64"/>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0452"/>
    <w:rsid w:val="00C1197A"/>
    <w:rsid w:val="00C126CA"/>
    <w:rsid w:val="00C1274E"/>
    <w:rsid w:val="00C1275E"/>
    <w:rsid w:val="00C1278D"/>
    <w:rsid w:val="00C12AA4"/>
    <w:rsid w:val="00C12ECB"/>
    <w:rsid w:val="00C13409"/>
    <w:rsid w:val="00C1348A"/>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1CBC"/>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4D17"/>
    <w:rsid w:val="00C75331"/>
    <w:rsid w:val="00C753C6"/>
    <w:rsid w:val="00C760A5"/>
    <w:rsid w:val="00C771BD"/>
    <w:rsid w:val="00C774E6"/>
    <w:rsid w:val="00C80428"/>
    <w:rsid w:val="00C80588"/>
    <w:rsid w:val="00C80920"/>
    <w:rsid w:val="00C80CC2"/>
    <w:rsid w:val="00C81024"/>
    <w:rsid w:val="00C815A0"/>
    <w:rsid w:val="00C8165B"/>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B69"/>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3E2"/>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07"/>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B79B4"/>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CDB"/>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106C"/>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4DD2"/>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354"/>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E760D"/>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11"/>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3A8"/>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CCD"/>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6C7"/>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5A6"/>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69F"/>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07D30"/>
    <w:rsid w:val="00F10527"/>
    <w:rsid w:val="00F10749"/>
    <w:rsid w:val="00F10A5A"/>
    <w:rsid w:val="00F10C7C"/>
    <w:rsid w:val="00F12B95"/>
    <w:rsid w:val="00F13099"/>
    <w:rsid w:val="00F133D0"/>
    <w:rsid w:val="00F140C5"/>
    <w:rsid w:val="00F143DB"/>
    <w:rsid w:val="00F145E1"/>
    <w:rsid w:val="00F14784"/>
    <w:rsid w:val="00F14A40"/>
    <w:rsid w:val="00F14C5D"/>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6DE5"/>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972"/>
    <w:rsid w:val="00F87B9C"/>
    <w:rsid w:val="00F87BAA"/>
    <w:rsid w:val="00F87D5E"/>
    <w:rsid w:val="00F9002B"/>
    <w:rsid w:val="00F902C5"/>
    <w:rsid w:val="00F9091F"/>
    <w:rsid w:val="00F90CE9"/>
    <w:rsid w:val="00F9114F"/>
    <w:rsid w:val="00F91A70"/>
    <w:rsid w:val="00F91EF3"/>
    <w:rsid w:val="00F93A61"/>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363"/>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BF1F64"/>
    <w:rPr>
      <w:rFonts w:ascii="Arial" w:hAnsi="Arial"/>
      <w:sz w:val="18"/>
      <w:szCs w:val="24"/>
      <w:lang w:eastAsia="en-US"/>
    </w:rPr>
  </w:style>
  <w:style w:type="table" w:customStyle="1" w:styleId="GridTable5Dark-Accent41">
    <w:name w:val="Grid Table 5 Dark - Accent 41"/>
    <w:basedOn w:val="TableNormal"/>
    <w:uiPriority w:val="50"/>
    <w:rsid w:val="00797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BF1F64"/>
    <w:rPr>
      <w:rFonts w:ascii="Arial" w:hAnsi="Arial"/>
      <w:sz w:val="18"/>
      <w:szCs w:val="24"/>
      <w:lang w:eastAsia="en-US"/>
    </w:rPr>
  </w:style>
  <w:style w:type="table" w:customStyle="1" w:styleId="GridTable5Dark-Accent41">
    <w:name w:val="Grid Table 5 Dark - Accent 41"/>
    <w:basedOn w:val="TableNormal"/>
    <w:uiPriority w:val="50"/>
    <w:rsid w:val="00797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52703554">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6916716">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30029167">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975332749">
      <w:bodyDiv w:val="1"/>
      <w:marLeft w:val="0"/>
      <w:marRight w:val="0"/>
      <w:marTop w:val="0"/>
      <w:marBottom w:val="0"/>
      <w:divBdr>
        <w:top w:val="none" w:sz="0" w:space="0" w:color="auto"/>
        <w:left w:val="none" w:sz="0" w:space="0" w:color="auto"/>
        <w:bottom w:val="none" w:sz="0" w:space="0" w:color="auto"/>
        <w:right w:val="none" w:sz="0" w:space="0" w:color="auto"/>
      </w:divBdr>
    </w:div>
    <w:div w:id="1056584288">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1425219">
      <w:bodyDiv w:val="1"/>
      <w:marLeft w:val="0"/>
      <w:marRight w:val="0"/>
      <w:marTop w:val="0"/>
      <w:marBottom w:val="0"/>
      <w:divBdr>
        <w:top w:val="none" w:sz="0" w:space="0" w:color="auto"/>
        <w:left w:val="none" w:sz="0" w:space="0" w:color="auto"/>
        <w:bottom w:val="none" w:sz="0" w:space="0" w:color="auto"/>
        <w:right w:val="none" w:sz="0" w:space="0" w:color="auto"/>
      </w:divBdr>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67641184">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3209999">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4871D127-D02B-47B4-B938-698919771180}"/>
</file>

<file path=customXml/itemProps3.xml><?xml version="1.0" encoding="utf-8"?>
<ds:datastoreItem xmlns:ds="http://schemas.openxmlformats.org/officeDocument/2006/customXml" ds:itemID="{9743151E-BE4C-43FF-88C9-D58AEF3F0157}"/>
</file>

<file path=customXml/itemProps4.xml><?xml version="1.0" encoding="utf-8"?>
<ds:datastoreItem xmlns:ds="http://schemas.openxmlformats.org/officeDocument/2006/customXml" ds:itemID="{9FA62DF9-6778-4581-927B-AC743E185D9B}"/>
</file>

<file path=docProps/app.xml><?xml version="1.0" encoding="utf-8"?>
<Properties xmlns="http://schemas.openxmlformats.org/officeDocument/2006/extended-properties" xmlns:vt="http://schemas.openxmlformats.org/officeDocument/2006/docPropsVTypes">
  <Template>Teplate</Template>
  <TotalTime>1223</TotalTime>
  <Pages>4</Pages>
  <Words>605</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3838</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43</cp:revision>
  <cp:lastPrinted>2010-08-20T08:44:00Z</cp:lastPrinted>
  <dcterms:created xsi:type="dcterms:W3CDTF">2017-03-23T07:54:00Z</dcterms:created>
  <dcterms:modified xsi:type="dcterms:W3CDTF">2018-11-09T15:24:00Z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