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1F9C94BC" w:rsidR="005A195B" w:rsidRPr="00DA38BA" w:rsidRDefault="00454E0C" w:rsidP="005906E7">
      <w:pPr>
        <w:pStyle w:val="Heading1"/>
      </w:pPr>
      <w:bookmarkStart w:id="0" w:name="_GoBack"/>
      <w:bookmarkEnd w:id="0"/>
      <w:r>
        <w:t>Manage Adjustments</w:t>
      </w:r>
    </w:p>
    <w:p w14:paraId="229786F0" w14:textId="4F33DD15" w:rsidR="00194CB7" w:rsidRDefault="005906E7" w:rsidP="00194CB7">
      <w:pPr>
        <w:pStyle w:val="Heading2"/>
      </w:pPr>
      <w:r>
        <w:t>Stakeholders involved in the Process</w:t>
      </w:r>
    </w:p>
    <w:p w14:paraId="2A205E49" w14:textId="62C666AF" w:rsidR="00194CB7" w:rsidRDefault="00194CB7" w:rsidP="001C04D9">
      <w:pPr>
        <w:pStyle w:val="ListParagraph"/>
        <w:numPr>
          <w:ilvl w:val="0"/>
          <w:numId w:val="45"/>
        </w:numPr>
        <w:ind w:left="568" w:hanging="284"/>
        <w:contextualSpacing w:val="0"/>
      </w:pPr>
      <w:r>
        <w:t>Trader</w:t>
      </w:r>
      <w:r w:rsidR="005906E7">
        <w:t>;</w:t>
      </w:r>
    </w:p>
    <w:p w14:paraId="36CDD9BB" w14:textId="618515A3" w:rsidR="00194CB7" w:rsidRDefault="00194CB7" w:rsidP="001C04D9">
      <w:pPr>
        <w:pStyle w:val="ListParagraph"/>
        <w:numPr>
          <w:ilvl w:val="0"/>
          <w:numId w:val="45"/>
        </w:numPr>
        <w:ind w:left="568" w:hanging="284"/>
        <w:contextualSpacing w:val="0"/>
      </w:pPr>
      <w:r>
        <w:t>Decision-</w:t>
      </w:r>
      <w:r w:rsidR="009D36A0">
        <w:t>t</w:t>
      </w:r>
      <w:r>
        <w:t xml:space="preserve">aking </w:t>
      </w:r>
      <w:r w:rsidR="009D36A0">
        <w:t>c</w:t>
      </w:r>
      <w:r>
        <w:t xml:space="preserve">ustoms </w:t>
      </w:r>
      <w:r w:rsidR="009D36A0">
        <w:t>a</w:t>
      </w:r>
      <w:r>
        <w:t>uthority</w:t>
      </w:r>
      <w:r w:rsidR="005906E7">
        <w:t>;</w:t>
      </w:r>
    </w:p>
    <w:p w14:paraId="1226B227" w14:textId="214945CB" w:rsidR="00194CB7" w:rsidRDefault="001C04D9" w:rsidP="001C04D9">
      <w:pPr>
        <w:pStyle w:val="ListParagraph"/>
        <w:numPr>
          <w:ilvl w:val="0"/>
          <w:numId w:val="45"/>
        </w:numPr>
        <w:ind w:left="568" w:hanging="284"/>
        <w:contextualSpacing w:val="0"/>
      </w:pPr>
      <w:r>
        <w:t xml:space="preserve">Consulted </w:t>
      </w:r>
      <w:r w:rsidR="009F66BB">
        <w:t>c</w:t>
      </w:r>
      <w:r>
        <w:t xml:space="preserve">ustoms </w:t>
      </w:r>
      <w:r w:rsidR="009F66BB">
        <w:t>a</w:t>
      </w:r>
      <w:r>
        <w:t>uthorities</w:t>
      </w:r>
      <w:r w:rsidR="005906E7">
        <w:t>.</w:t>
      </w:r>
    </w:p>
    <w:p w14:paraId="718D4620" w14:textId="77777777" w:rsidR="00194CB7" w:rsidRDefault="00194CB7" w:rsidP="00194CB7">
      <w:pPr>
        <w:pStyle w:val="Heading2"/>
      </w:pPr>
      <w:r>
        <w:t>Business</w:t>
      </w:r>
    </w:p>
    <w:p w14:paraId="04E04581" w14:textId="20C3FD81" w:rsidR="00395447" w:rsidRDefault="00194CB7" w:rsidP="00194CB7">
      <w:r>
        <w:t xml:space="preserve">The Manage Adjustments process is part of the </w:t>
      </w:r>
      <w:r w:rsidR="009D36A0">
        <w:t>d</w:t>
      </w:r>
      <w:r>
        <w:t>ecision</w:t>
      </w:r>
      <w:r w:rsidR="00465ECC">
        <w:t>-</w:t>
      </w:r>
      <w:r w:rsidR="009D36A0">
        <w:t>t</w:t>
      </w:r>
      <w:r>
        <w:t>aking process</w:t>
      </w:r>
      <w:r w:rsidR="002E0D82">
        <w:t xml:space="preserve">. </w:t>
      </w:r>
      <w:r w:rsidR="002E0D82">
        <w:fldChar w:fldCharType="begin"/>
      </w:r>
      <w:r w:rsidR="002E0D82">
        <w:instrText xml:space="preserve"> REF _Ref475015953 \h </w:instrText>
      </w:r>
      <w:r w:rsidR="002E0D82">
        <w:fldChar w:fldCharType="separate"/>
      </w:r>
      <w:r w:rsidR="008F5CDF">
        <w:t xml:space="preserve">Figure </w:t>
      </w:r>
      <w:r w:rsidR="008F5CDF">
        <w:rPr>
          <w:noProof/>
        </w:rPr>
        <w:t>1</w:t>
      </w:r>
      <w:r w:rsidR="002E0D82">
        <w:fldChar w:fldCharType="end"/>
      </w:r>
      <w:r w:rsidR="002E0D82">
        <w:t xml:space="preserve"> </w:t>
      </w:r>
      <w:r w:rsidR="00395447">
        <w:t xml:space="preserve">depicts the high-level </w:t>
      </w:r>
      <w:r w:rsidR="002E0D82">
        <w:t>over</w:t>
      </w:r>
      <w:r w:rsidR="00395447">
        <w:t xml:space="preserve">view of the </w:t>
      </w:r>
      <w:r w:rsidR="009D36A0">
        <w:t>d</w:t>
      </w:r>
      <w:r w:rsidR="00395447">
        <w:t>ecision</w:t>
      </w:r>
      <w:r w:rsidR="00465ECC">
        <w:t>-</w:t>
      </w:r>
      <w:r w:rsidR="009D36A0">
        <w:t>t</w:t>
      </w:r>
      <w:r w:rsidR="00395447">
        <w:t xml:space="preserve">aking process. The Manage Adjustments process is </w:t>
      </w:r>
      <w:r w:rsidR="00837828">
        <w:t>one</w:t>
      </w:r>
      <w:r w:rsidR="00395447">
        <w:t xml:space="preserve"> of the </w:t>
      </w:r>
      <w:r w:rsidR="002E0D82">
        <w:t>Auxiliary Activities</w:t>
      </w:r>
      <w:r w:rsidR="00395447">
        <w:t>.</w:t>
      </w:r>
    </w:p>
    <w:p w14:paraId="0FA636E9" w14:textId="77777777" w:rsidR="00194CB7" w:rsidRDefault="00194CB7" w:rsidP="00194CB7"/>
    <w:bookmarkStart w:id="1" w:name="_Hlk484172212"/>
    <w:p w14:paraId="25F9A0EA" w14:textId="3C1D80A1" w:rsidR="002E0D82" w:rsidRDefault="00C22D93" w:rsidP="00156959">
      <w:pPr>
        <w:keepNext/>
        <w:jc w:val="center"/>
      </w:pPr>
      <w:r>
        <w:object w:dxaOrig="8475" w:dyaOrig="3960" w14:anchorId="52F3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2" o:title=""/>
          </v:shape>
          <o:OLEObject Type="Embed" ProgID="Visio.Drawing.11" ShapeID="_x0000_i1025" DrawAspect="Content" ObjectID="_1603285994" r:id="rId13"/>
        </w:object>
      </w:r>
      <w:bookmarkEnd w:id="1"/>
    </w:p>
    <w:p w14:paraId="4047F026" w14:textId="5A1CC396" w:rsidR="00395447" w:rsidRDefault="002E0D82" w:rsidP="002E0D82">
      <w:pPr>
        <w:pStyle w:val="Caption"/>
      </w:pPr>
      <w:bookmarkStart w:id="2" w:name="_Ref475015953"/>
      <w:r>
        <w:t xml:space="preserve">Figure </w:t>
      </w:r>
      <w:r w:rsidR="00752B47">
        <w:fldChar w:fldCharType="begin"/>
      </w:r>
      <w:r w:rsidR="00752B47">
        <w:instrText xml:space="preserve"> SEQ Figure \* ARABIC </w:instrText>
      </w:r>
      <w:r w:rsidR="00752B47">
        <w:fldChar w:fldCharType="separate"/>
      </w:r>
      <w:r w:rsidR="008F5CDF">
        <w:rPr>
          <w:noProof/>
        </w:rPr>
        <w:t>1</w:t>
      </w:r>
      <w:r w:rsidR="00752B47">
        <w:rPr>
          <w:noProof/>
        </w:rPr>
        <w:fldChar w:fldCharType="end"/>
      </w:r>
      <w:bookmarkEnd w:id="2"/>
      <w:r>
        <w:t xml:space="preserve"> </w:t>
      </w:r>
      <w:r w:rsidRPr="00F57EFC">
        <w:t>High level overview of the Take Decision Process</w:t>
      </w:r>
    </w:p>
    <w:p w14:paraId="747E1C1F" w14:textId="77777777" w:rsidR="002E0D82" w:rsidRDefault="002E0D82" w:rsidP="00DA38BA"/>
    <w:p w14:paraId="7B426D69" w14:textId="18D24089" w:rsidR="001D566E" w:rsidRDefault="001D566E" w:rsidP="00DA38BA">
      <w:r>
        <w:t xml:space="preserve">During the </w:t>
      </w:r>
      <w:r w:rsidR="00405F1B">
        <w:t>d</w:t>
      </w:r>
      <w:r>
        <w:t>ecision</w:t>
      </w:r>
      <w:r w:rsidR="00465ECC">
        <w:t>-</w:t>
      </w:r>
      <w:r w:rsidR="00405F1B">
        <w:t>t</w:t>
      </w:r>
      <w:r>
        <w:t xml:space="preserve">aking process, the trader is allowed to carry out adjustments to ensure the </w:t>
      </w:r>
      <w:proofErr w:type="gramStart"/>
      <w:r>
        <w:t>fulfilment</w:t>
      </w:r>
      <w:proofErr w:type="gramEnd"/>
      <w:r>
        <w:t xml:space="preserve"> of the conditions and criteria</w:t>
      </w:r>
      <w:r w:rsidR="00465ECC">
        <w:t xml:space="preserve"> </w:t>
      </w:r>
      <w:r w:rsidR="008003EF">
        <w:t xml:space="preserve">in order </w:t>
      </w:r>
      <w:r w:rsidR="00465ECC">
        <w:t>to be granted the requested authorisation</w:t>
      </w:r>
      <w:r>
        <w:t xml:space="preserve">. The trader can propose adjustments after the application was accepted, but before the decision is taken. </w:t>
      </w:r>
    </w:p>
    <w:p w14:paraId="5CBFACC1" w14:textId="292158E2" w:rsidR="001D566E" w:rsidRDefault="000924A4" w:rsidP="00DA38BA">
      <w:r>
        <w:fldChar w:fldCharType="begin"/>
      </w:r>
      <w:r>
        <w:instrText xml:space="preserve"> REF _Ref475017627 \h </w:instrText>
      </w:r>
      <w:r>
        <w:fldChar w:fldCharType="separate"/>
      </w:r>
      <w:r w:rsidR="008F5CDF">
        <w:t xml:space="preserve">Figure </w:t>
      </w:r>
      <w:r w:rsidR="008F5CDF">
        <w:rPr>
          <w:noProof/>
        </w:rPr>
        <w:t>2</w:t>
      </w:r>
      <w:r>
        <w:fldChar w:fldCharType="end"/>
      </w:r>
      <w:r>
        <w:t xml:space="preserve"> </w:t>
      </w:r>
      <w:r w:rsidR="00363EBF">
        <w:t>presents the high</w:t>
      </w:r>
      <w:r w:rsidR="00465ECC">
        <w:t>-</w:t>
      </w:r>
      <w:r w:rsidR="00363EBF">
        <w:t>level overview of the Manage Adjustments process.</w:t>
      </w:r>
    </w:p>
    <w:p w14:paraId="516DF57C" w14:textId="77777777" w:rsidR="00363EBF" w:rsidRDefault="00363EBF" w:rsidP="00DA38BA"/>
    <w:p w14:paraId="3E22B9BC" w14:textId="0281C60C" w:rsidR="00BC665D" w:rsidRDefault="00C22D93" w:rsidP="00156959">
      <w:pPr>
        <w:keepNext/>
        <w:jc w:val="center"/>
      </w:pPr>
      <w:r>
        <w:object w:dxaOrig="8679" w:dyaOrig="3627" w14:anchorId="7B4A4321">
          <v:shape id="_x0000_i1026" type="#_x0000_t75" style="width:434.25pt;height:181.5pt" o:ole="">
            <v:imagedata r:id="rId14" o:title=""/>
          </v:shape>
          <o:OLEObject Type="Embed" ProgID="Visio.Drawing.11" ShapeID="_x0000_i1026" DrawAspect="Content" ObjectID="_1603285995" r:id="rId15"/>
        </w:object>
      </w:r>
    </w:p>
    <w:p w14:paraId="590F2964" w14:textId="3EC46FCA" w:rsidR="005D5A28" w:rsidRDefault="000924A4" w:rsidP="000924A4">
      <w:pPr>
        <w:pStyle w:val="Caption"/>
      </w:pPr>
      <w:bookmarkStart w:id="3" w:name="_Ref475017627"/>
      <w:r>
        <w:t xml:space="preserve">Figure </w:t>
      </w:r>
      <w:r w:rsidR="00752B47">
        <w:fldChar w:fldCharType="begin"/>
      </w:r>
      <w:r w:rsidR="00752B47">
        <w:instrText xml:space="preserve"> SEQ Figure \* ARABIC </w:instrText>
      </w:r>
      <w:r w:rsidR="00752B47">
        <w:fldChar w:fldCharType="separate"/>
      </w:r>
      <w:r w:rsidR="008F5CDF">
        <w:rPr>
          <w:noProof/>
        </w:rPr>
        <w:t>2</w:t>
      </w:r>
      <w:r w:rsidR="00752B47">
        <w:rPr>
          <w:noProof/>
        </w:rPr>
        <w:fldChar w:fldCharType="end"/>
      </w:r>
      <w:bookmarkEnd w:id="3"/>
      <w:r>
        <w:t xml:space="preserve"> </w:t>
      </w:r>
      <w:r w:rsidRPr="002D5C04">
        <w:t>High level overview of the Manage Adjustments process</w:t>
      </w:r>
    </w:p>
    <w:p w14:paraId="3E3445DE" w14:textId="77777777" w:rsidR="00132BD1" w:rsidRDefault="00132BD1" w:rsidP="005D5A28"/>
    <w:p w14:paraId="4E00112F" w14:textId="378ECEEE" w:rsidR="005D5A28" w:rsidRDefault="005D5A28" w:rsidP="005D5A28">
      <w:r>
        <w:t xml:space="preserve">The Manage Adjustments process starts </w:t>
      </w:r>
      <w:r w:rsidR="00224E24">
        <w:t xml:space="preserve">with the </w:t>
      </w:r>
      <w:r>
        <w:t xml:space="preserve">submission of </w:t>
      </w:r>
      <w:r w:rsidR="00224E24">
        <w:t xml:space="preserve">the </w:t>
      </w:r>
      <w:r>
        <w:t xml:space="preserve">proposed adjustments by the trader. </w:t>
      </w:r>
      <w:r w:rsidR="00E0572B">
        <w:t xml:space="preserve">The adjustment represents information relevant to any check </w:t>
      </w:r>
      <w:r w:rsidR="002A6D68">
        <w:t>that needs to be verified</w:t>
      </w:r>
      <w:r w:rsidR="00E0572B">
        <w:t xml:space="preserve"> by the customs officer, and which helps the positive validation. By relevant check is meant any check listed in </w:t>
      </w:r>
      <w:r w:rsidR="00863C60">
        <w:t xml:space="preserve">chapter </w:t>
      </w:r>
      <w:r w:rsidR="00E0572B">
        <w:t>“</w:t>
      </w:r>
      <w:r w:rsidR="005D2B2D">
        <w:t>3</w:t>
      </w:r>
      <w:r w:rsidR="00E0572B" w:rsidRPr="00285546">
        <w:t>. Take Decision</w:t>
      </w:r>
      <w:r w:rsidR="00E0572B">
        <w:t xml:space="preserve">”. </w:t>
      </w:r>
      <w:r>
        <w:t xml:space="preserve">Together with the adjustments, the trader also submits a </w:t>
      </w:r>
      <w:r w:rsidR="000E245E">
        <w:t xml:space="preserve">time limit </w:t>
      </w:r>
      <w:r>
        <w:t>proposal to implement the proposed adjustments.</w:t>
      </w:r>
      <w:r w:rsidR="00285546">
        <w:t xml:space="preserve"> There is no limitation on the proposed time limit, but it should be represented by a reasonable time needed to implement the proposed adjustments. </w:t>
      </w:r>
    </w:p>
    <w:p w14:paraId="1606B3EA" w14:textId="615C6852" w:rsidR="005E5BBB" w:rsidRDefault="00285546" w:rsidP="005D5A28">
      <w:r>
        <w:t>The</w:t>
      </w:r>
      <w:r w:rsidR="005E5BBB">
        <w:t xml:space="preserve"> customs officer has to </w:t>
      </w:r>
      <w:r w:rsidR="00FD0EA8">
        <w:t>m</w:t>
      </w:r>
      <w:r w:rsidR="005E5BBB">
        <w:t xml:space="preserve">ake </w:t>
      </w:r>
      <w:r w:rsidR="00FD0EA8">
        <w:t xml:space="preserve">a </w:t>
      </w:r>
      <w:r w:rsidR="005E5BBB">
        <w:t>decision on the proposed adjustments. The outcome from the decision is the following:</w:t>
      </w:r>
    </w:p>
    <w:p w14:paraId="6C7A5146" w14:textId="0E31AB42" w:rsidR="005E5BBB" w:rsidRDefault="005E5BBB" w:rsidP="0095597A">
      <w:pPr>
        <w:pStyle w:val="ListParagraph"/>
        <w:numPr>
          <w:ilvl w:val="0"/>
          <w:numId w:val="42"/>
        </w:numPr>
        <w:ind w:left="568" w:hanging="284"/>
        <w:contextualSpacing w:val="0"/>
      </w:pPr>
      <w:r w:rsidRPr="0090134A">
        <w:rPr>
          <w:b/>
        </w:rPr>
        <w:t>Proposal is approved</w:t>
      </w:r>
      <w:r>
        <w:t xml:space="preserve"> – the customs officer agrees on both the adjustments and the time limit to implement them;</w:t>
      </w:r>
    </w:p>
    <w:p w14:paraId="2283CC09" w14:textId="431223E2" w:rsidR="005E5BBB" w:rsidRDefault="005E5BBB" w:rsidP="0095597A">
      <w:pPr>
        <w:pStyle w:val="ListParagraph"/>
        <w:numPr>
          <w:ilvl w:val="0"/>
          <w:numId w:val="42"/>
        </w:numPr>
        <w:ind w:left="568" w:hanging="284"/>
        <w:contextualSpacing w:val="0"/>
        <w:jc w:val="left"/>
      </w:pPr>
      <w:r w:rsidRPr="0090134A">
        <w:rPr>
          <w:b/>
        </w:rPr>
        <w:t>Proposal is not approved</w:t>
      </w:r>
      <w:r>
        <w:t xml:space="preserve"> – the customs officer does not agree on the adjustments, or on time limit to implement them, or on both. </w:t>
      </w:r>
    </w:p>
    <w:p w14:paraId="179F90A8" w14:textId="261A9C22" w:rsidR="0016525E" w:rsidRDefault="0016525E" w:rsidP="0016525E">
      <w:r>
        <w:t xml:space="preserve">If the customs officer </w:t>
      </w:r>
      <w:r w:rsidR="0090134A">
        <w:t xml:space="preserve">decides </w:t>
      </w:r>
      <w:r>
        <w:t xml:space="preserve">to reject the adjustments for any reason, the trader has to be notified about this fact together with the </w:t>
      </w:r>
      <w:r w:rsidR="00FD0EA8">
        <w:t xml:space="preserve">rejection </w:t>
      </w:r>
      <w:r>
        <w:t>details. In this case, the trader is free to submit a new adjustments proposal.</w:t>
      </w:r>
    </w:p>
    <w:p w14:paraId="7777CDD7" w14:textId="65E49280" w:rsidR="00763D86" w:rsidRDefault="00763D86" w:rsidP="0016525E">
      <w:r>
        <w:t xml:space="preserve">If the proposed adjustments </w:t>
      </w:r>
      <w:r w:rsidR="0090134A">
        <w:t>are</w:t>
      </w:r>
      <w:r>
        <w:t xml:space="preserve"> approved, the customs officer has to analyse </w:t>
      </w:r>
      <w:r w:rsidR="00013E01">
        <w:t>if</w:t>
      </w:r>
      <w:r>
        <w:t xml:space="preserve"> the time limit to take decision</w:t>
      </w:r>
      <w:r w:rsidR="00013E01">
        <w:t xml:space="preserve"> </w:t>
      </w:r>
      <w:r w:rsidR="00837828">
        <w:t>needs</w:t>
      </w:r>
      <w:r w:rsidR="00013E01">
        <w:t xml:space="preserve"> to be extended</w:t>
      </w:r>
      <w:r>
        <w:t xml:space="preserve">. </w:t>
      </w:r>
      <w:r w:rsidR="0083480C">
        <w:t>The following situations can present:</w:t>
      </w:r>
    </w:p>
    <w:p w14:paraId="00084458" w14:textId="5365A2A8" w:rsidR="00763D86" w:rsidRDefault="00013E01" w:rsidP="0095597A">
      <w:pPr>
        <w:pStyle w:val="ListParagraph"/>
        <w:numPr>
          <w:ilvl w:val="0"/>
          <w:numId w:val="43"/>
        </w:numPr>
        <w:ind w:left="568" w:hanging="284"/>
        <w:contextualSpacing w:val="0"/>
      </w:pPr>
      <w:r>
        <w:t>T</w:t>
      </w:r>
      <w:r w:rsidR="00763D86">
        <w:t xml:space="preserve">he customs officer </w:t>
      </w:r>
      <w:r w:rsidR="0090134A">
        <w:t xml:space="preserve">decides </w:t>
      </w:r>
      <w:r w:rsidR="00763D86">
        <w:t>to extend the existing time limit</w:t>
      </w:r>
      <w:r w:rsidR="006E1AB4">
        <w:t xml:space="preserve"> and register</w:t>
      </w:r>
      <w:r w:rsidR="00FD0EA8">
        <w:t>s</w:t>
      </w:r>
      <w:r w:rsidR="006E1AB4">
        <w:t xml:space="preserve"> in the system the new time limit</w:t>
      </w:r>
      <w:r w:rsidR="00763D86">
        <w:t xml:space="preserve">. The new time limit to take decision </w:t>
      </w:r>
      <w:r w:rsidR="0090134A">
        <w:t>is</w:t>
      </w:r>
      <w:r w:rsidR="00763D86">
        <w:t xml:space="preserve"> notified to the trader;</w:t>
      </w:r>
    </w:p>
    <w:p w14:paraId="416DB669" w14:textId="4C830810" w:rsidR="00763D86" w:rsidRDefault="00763D86" w:rsidP="0095597A">
      <w:pPr>
        <w:pStyle w:val="ListParagraph"/>
        <w:numPr>
          <w:ilvl w:val="0"/>
          <w:numId w:val="43"/>
        </w:numPr>
        <w:ind w:left="568" w:hanging="284"/>
        <w:contextualSpacing w:val="0"/>
      </w:pPr>
      <w:r>
        <w:t xml:space="preserve">The time limit remains the same and no notification is sent to the trader. </w:t>
      </w:r>
    </w:p>
    <w:p w14:paraId="152C54E6" w14:textId="0094C212" w:rsidR="00EC39D1" w:rsidRDefault="00207707" w:rsidP="006E1AB4">
      <w:r>
        <w:t xml:space="preserve">Once the time limit to take decision </w:t>
      </w:r>
      <w:r w:rsidR="0090134A">
        <w:t>is</w:t>
      </w:r>
      <w:r>
        <w:t xml:space="preserve"> extended, the </w:t>
      </w:r>
      <w:r w:rsidR="008B0575">
        <w:t xml:space="preserve">Customs Decisions </w:t>
      </w:r>
      <w:r w:rsidR="00D86879">
        <w:t>s</w:t>
      </w:r>
      <w:r>
        <w:t xml:space="preserve">ystem will check </w:t>
      </w:r>
      <w:r w:rsidR="00837828">
        <w:t>if</w:t>
      </w:r>
      <w:r>
        <w:t xml:space="preserve"> there is an ongoing consultation with one or more member state(s). </w:t>
      </w:r>
      <w:r w:rsidR="00276408">
        <w:t xml:space="preserve">If at least one consultation is ongoing, the </w:t>
      </w:r>
      <w:r w:rsidR="0083480C">
        <w:t>customs officer will register whether the time limit to consult the member state(s) should be extended.</w:t>
      </w:r>
      <w:r w:rsidR="006E19C9">
        <w:t xml:space="preserve"> If he decides to extend the time limit, the member state(s) will be notified accordingly.</w:t>
      </w:r>
      <w:r w:rsidR="006E19C9" w:rsidDel="006E19C9">
        <w:t xml:space="preserve"> </w:t>
      </w:r>
    </w:p>
    <w:p w14:paraId="727BED92" w14:textId="3286901F" w:rsidR="00FA4D13" w:rsidRDefault="00FA4D13" w:rsidP="006E1AB4">
      <w:r>
        <w:t>If the applicant does not implement the adjustments within the time limit, the process simply ends.</w:t>
      </w:r>
    </w:p>
    <w:p w14:paraId="646879A1" w14:textId="7C1D3CF1" w:rsidR="006E1AB4" w:rsidRDefault="00186BCF" w:rsidP="006E1AB4">
      <w:r>
        <w:t>On the other hand, o</w:t>
      </w:r>
      <w:r w:rsidR="00A435E4">
        <w:t>nce the trader</w:t>
      </w:r>
      <w:r>
        <w:t xml:space="preserve"> has</w:t>
      </w:r>
      <w:r w:rsidR="00A435E4">
        <w:t xml:space="preserve"> implemented</w:t>
      </w:r>
      <w:r w:rsidR="00A435E4" w:rsidRPr="00A435E4">
        <w:t xml:space="preserve"> the adjustments</w:t>
      </w:r>
      <w:r>
        <w:t xml:space="preserve"> within the time limit</w:t>
      </w:r>
      <w:r w:rsidR="00A435E4" w:rsidRPr="00A435E4">
        <w:t xml:space="preserve">, </w:t>
      </w:r>
      <w:r w:rsidR="006E55F3">
        <w:t>he</w:t>
      </w:r>
      <w:r w:rsidR="00A435E4" w:rsidRPr="00A435E4">
        <w:t xml:space="preserve"> will notify the </w:t>
      </w:r>
      <w:r w:rsidR="00A435E4">
        <w:t>customs officer</w:t>
      </w:r>
      <w:r w:rsidR="00A435E4" w:rsidRPr="00A435E4">
        <w:t xml:space="preserve"> about the adjustments and will provide proof of the implementation of the adjustments.</w:t>
      </w:r>
    </w:p>
    <w:p w14:paraId="5F037E49" w14:textId="6277273C" w:rsidR="009C4460" w:rsidRDefault="009C4460" w:rsidP="006E1AB4">
      <w:r>
        <w:t xml:space="preserve">The customs officer </w:t>
      </w:r>
      <w:r w:rsidR="00837828">
        <w:t>finally needs</w:t>
      </w:r>
      <w:r>
        <w:t xml:space="preserve"> to verify if the implemented adjustments comply with the expectations. </w:t>
      </w:r>
      <w:r w:rsidR="006E55F3">
        <w:t>He</w:t>
      </w:r>
      <w:r w:rsidR="006E19C9">
        <w:t xml:space="preserve"> </w:t>
      </w:r>
      <w:r>
        <w:t xml:space="preserve">will </w:t>
      </w:r>
      <w:r w:rsidR="006E19C9">
        <w:t xml:space="preserve">then register </w:t>
      </w:r>
      <w:r>
        <w:t>the result of this validation.</w:t>
      </w:r>
    </w:p>
    <w:p w14:paraId="1FFD27EE" w14:textId="6DE3BFE9" w:rsidR="00276408" w:rsidRPr="003D3658" w:rsidRDefault="009C4460" w:rsidP="00276408">
      <w:r>
        <w:lastRenderedPageBreak/>
        <w:t xml:space="preserve">If there is at least one ongoing consultation with member state(s), </w:t>
      </w:r>
      <w:r w:rsidR="00615F45">
        <w:t>the m</w:t>
      </w:r>
      <w:r>
        <w:t xml:space="preserve">ember state(s) </w:t>
      </w:r>
      <w:r w:rsidR="00615F45">
        <w:t>will be automatically</w:t>
      </w:r>
      <w:r>
        <w:t xml:space="preserve"> informed about the implemented adjustments.</w:t>
      </w:r>
      <w:r w:rsidR="009A1819">
        <w:t xml:space="preserve"> The customs officer of the consulted member state can take this into account, when verifyi</w:t>
      </w:r>
      <w:r w:rsidR="00837828">
        <w:t>ng the conditions and criteria.</w:t>
      </w:r>
    </w:p>
    <w:sectPr w:rsidR="00276408" w:rsidRPr="003D3658" w:rsidSect="0056695E">
      <w:footerReference w:type="default" r:id="rId16"/>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DAB3" w14:textId="77777777" w:rsidR="004F4278" w:rsidRDefault="004F4278">
      <w:r>
        <w:separator/>
      </w:r>
    </w:p>
  </w:endnote>
  <w:endnote w:type="continuationSeparator" w:id="0">
    <w:p w14:paraId="048D01B3" w14:textId="77777777" w:rsidR="004F4278" w:rsidRDefault="004F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1AF69493" w14:textId="649AEE8E" w:rsidR="000B23EA" w:rsidRDefault="000B23EA" w:rsidP="000B23EA">
        <w:pPr>
          <w:pStyle w:val="Footer"/>
          <w:jc w:val="center"/>
        </w:pPr>
        <w:r>
          <w:fldChar w:fldCharType="begin"/>
        </w:r>
        <w:r>
          <w:instrText xml:space="preserve"> PAGE   \* MERGEFORMAT </w:instrText>
        </w:r>
        <w:r>
          <w:fldChar w:fldCharType="separate"/>
        </w:r>
        <w:r w:rsidR="00752B4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51F82" w14:textId="77777777" w:rsidR="004F4278" w:rsidRDefault="004F4278">
      <w:r>
        <w:separator/>
      </w:r>
    </w:p>
  </w:footnote>
  <w:footnote w:type="continuationSeparator" w:id="0">
    <w:p w14:paraId="54E040D7" w14:textId="77777777" w:rsidR="004F4278" w:rsidRDefault="004F4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32E83BC"/>
    <w:lvl w:ilvl="0">
      <w:start w:val="4"/>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5715BE"/>
    <w:multiLevelType w:val="hybridMultilevel"/>
    <w:tmpl w:val="A79EE1BE"/>
    <w:lvl w:ilvl="0" w:tplc="0409001B">
      <w:numFmt w:val="bullet"/>
      <w:lvlText w:val="-"/>
      <w:lvlJc w:val="left"/>
      <w:pPr>
        <w:ind w:left="778"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31258F"/>
    <w:multiLevelType w:val="hybridMultilevel"/>
    <w:tmpl w:val="3FDA225C"/>
    <w:lvl w:ilvl="0" w:tplc="0409001B">
      <w:numFmt w:val="bullet"/>
      <w:lvlText w:val="-"/>
      <w:lvlJc w:val="left"/>
      <w:pPr>
        <w:ind w:left="720"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353971"/>
    <w:multiLevelType w:val="hybridMultilevel"/>
    <w:tmpl w:val="A93E4C7A"/>
    <w:lvl w:ilvl="0" w:tplc="0409001B">
      <w:numFmt w:val="bullet"/>
      <w:lvlText w:val="-"/>
      <w:lvlJc w:val="left"/>
      <w:pPr>
        <w:ind w:left="778"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40"/>
  </w:num>
  <w:num w:numId="9">
    <w:abstractNumId w:val="31"/>
  </w:num>
  <w:num w:numId="10">
    <w:abstractNumId w:val="29"/>
  </w:num>
  <w:num w:numId="11">
    <w:abstractNumId w:val="22"/>
  </w:num>
  <w:num w:numId="12">
    <w:abstractNumId w:val="37"/>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4"/>
  </w:num>
  <w:num w:numId="20">
    <w:abstractNumId w:val="16"/>
  </w:num>
  <w:num w:numId="21">
    <w:abstractNumId w:val="39"/>
  </w:num>
  <w:num w:numId="22">
    <w:abstractNumId w:val="25"/>
  </w:num>
  <w:num w:numId="23">
    <w:abstractNumId w:val="34"/>
  </w:num>
  <w:num w:numId="24">
    <w:abstractNumId w:val="27"/>
  </w:num>
  <w:num w:numId="25">
    <w:abstractNumId w:val="32"/>
  </w:num>
  <w:num w:numId="26">
    <w:abstractNumId w:val="41"/>
  </w:num>
  <w:num w:numId="27">
    <w:abstractNumId w:val="30"/>
  </w:num>
  <w:num w:numId="28">
    <w:abstractNumId w:val="7"/>
  </w:num>
  <w:num w:numId="29">
    <w:abstractNumId w:val="13"/>
  </w:num>
  <w:num w:numId="30">
    <w:abstractNumId w:val="33"/>
  </w:num>
  <w:num w:numId="31">
    <w:abstractNumId w:val="42"/>
  </w:num>
  <w:num w:numId="32">
    <w:abstractNumId w:val="43"/>
  </w:num>
  <w:num w:numId="33">
    <w:abstractNumId w:val="17"/>
  </w:num>
  <w:num w:numId="34">
    <w:abstractNumId w:val="21"/>
  </w:num>
  <w:num w:numId="35">
    <w:abstractNumId w:val="23"/>
  </w:num>
  <w:num w:numId="36">
    <w:abstractNumId w:val="24"/>
  </w:num>
  <w:num w:numId="37">
    <w:abstractNumId w:val="12"/>
  </w:num>
  <w:num w:numId="38">
    <w:abstractNumId w:val="9"/>
  </w:num>
  <w:num w:numId="39">
    <w:abstractNumId w:val="28"/>
  </w:num>
  <w:num w:numId="40">
    <w:abstractNumId w:val="38"/>
  </w:num>
  <w:num w:numId="41">
    <w:abstractNumId w:val="6"/>
  </w:num>
  <w:num w:numId="42">
    <w:abstractNumId w:val="36"/>
  </w:num>
  <w:num w:numId="43">
    <w:abstractNumId w:val="35"/>
  </w:num>
  <w:num w:numId="44">
    <w:abstractNumId w:val="10"/>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3E01"/>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37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4A4"/>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3EA"/>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45E"/>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BD1"/>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976"/>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6959"/>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B80"/>
    <w:rsid w:val="00164EA7"/>
    <w:rsid w:val="0016521D"/>
    <w:rsid w:val="0016525E"/>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BCF"/>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4CB7"/>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4D9"/>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66E"/>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707"/>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E24"/>
    <w:rsid w:val="00224F92"/>
    <w:rsid w:val="00225198"/>
    <w:rsid w:val="002254A7"/>
    <w:rsid w:val="00225D7A"/>
    <w:rsid w:val="00226008"/>
    <w:rsid w:val="00226922"/>
    <w:rsid w:val="00226A68"/>
    <w:rsid w:val="0022719F"/>
    <w:rsid w:val="002275C0"/>
    <w:rsid w:val="00227B65"/>
    <w:rsid w:val="00230125"/>
    <w:rsid w:val="00230BD9"/>
    <w:rsid w:val="00230F07"/>
    <w:rsid w:val="002312B3"/>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408"/>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546"/>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D68"/>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2D"/>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0D82"/>
    <w:rsid w:val="002E14D5"/>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47584"/>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3EBF"/>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447"/>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658"/>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5F1B"/>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4E0C"/>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5ECC"/>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278"/>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2B8B"/>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6E7"/>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B2D"/>
    <w:rsid w:val="005D2DF2"/>
    <w:rsid w:val="005D2E73"/>
    <w:rsid w:val="005D3101"/>
    <w:rsid w:val="005D314D"/>
    <w:rsid w:val="005D3707"/>
    <w:rsid w:val="005D3F38"/>
    <w:rsid w:val="005D4C40"/>
    <w:rsid w:val="005D518A"/>
    <w:rsid w:val="005D53A5"/>
    <w:rsid w:val="005D5A28"/>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BBB"/>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5F45"/>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19C9"/>
    <w:rsid w:val="006E1AB4"/>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5F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B47"/>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3D86"/>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3EF"/>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80C"/>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828"/>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C60"/>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575"/>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CDF"/>
    <w:rsid w:val="008F5D12"/>
    <w:rsid w:val="008F6B23"/>
    <w:rsid w:val="008F7558"/>
    <w:rsid w:val="008F7F95"/>
    <w:rsid w:val="0090023F"/>
    <w:rsid w:val="00900454"/>
    <w:rsid w:val="0090084E"/>
    <w:rsid w:val="00900FB9"/>
    <w:rsid w:val="0090134A"/>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97A"/>
    <w:rsid w:val="00955AB2"/>
    <w:rsid w:val="00955E7E"/>
    <w:rsid w:val="0095664B"/>
    <w:rsid w:val="00956AE8"/>
    <w:rsid w:val="00957E99"/>
    <w:rsid w:val="0096016E"/>
    <w:rsid w:val="00960444"/>
    <w:rsid w:val="00960C65"/>
    <w:rsid w:val="00960CA4"/>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819"/>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460"/>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6A0"/>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6BB"/>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5E4"/>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1D9"/>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2D90"/>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5F93"/>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665D"/>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215"/>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93"/>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879"/>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DF729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72B"/>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03C"/>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86F"/>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8D5"/>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2B68"/>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B760F"/>
    <w:rsid w:val="00EC0CC0"/>
    <w:rsid w:val="00EC0D35"/>
    <w:rsid w:val="00EC2D0E"/>
    <w:rsid w:val="00EC39D1"/>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9C4"/>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1B1"/>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2A0E"/>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4D13"/>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0EA8"/>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B23EA"/>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B23EA"/>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61027288">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56078613">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093501082">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54C1-9DCA-4F74-AB5C-670A2645FC24}"/>
</file>

<file path=customXml/itemProps2.xml><?xml version="1.0" encoding="utf-8"?>
<ds:datastoreItem xmlns:ds="http://schemas.openxmlformats.org/officeDocument/2006/customXml" ds:itemID="{8DFEB2CF-DBD2-4FAF-852C-1181CF7F3212}"/>
</file>

<file path=customXml/itemProps3.xml><?xml version="1.0" encoding="utf-8"?>
<ds:datastoreItem xmlns:ds="http://schemas.openxmlformats.org/officeDocument/2006/customXml" ds:itemID="{9743151E-BE4C-43FF-88C9-D58AEF3F0157}"/>
</file>

<file path=customXml/itemProps4.xml><?xml version="1.0" encoding="utf-8"?>
<ds:datastoreItem xmlns:ds="http://schemas.openxmlformats.org/officeDocument/2006/customXml" ds:itemID="{44A98618-AD86-4B2C-B7FB-65FC3F6538DB}"/>
</file>

<file path=docProps/app.xml><?xml version="1.0" encoding="utf-8"?>
<Properties xmlns="http://schemas.openxmlformats.org/officeDocument/2006/extended-properties" xmlns:vt="http://schemas.openxmlformats.org/officeDocument/2006/docPropsVTypes">
  <Template>Teplate</Template>
  <TotalTime>7628</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3750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24</cp:revision>
  <cp:lastPrinted>2010-08-20T08:44:00Z</cp:lastPrinted>
  <dcterms:created xsi:type="dcterms:W3CDTF">2017-05-24T09:41:00Z</dcterms:created>
  <dcterms:modified xsi:type="dcterms:W3CDTF">2018-11-09T15:26:00Z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