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6D422779" w:rsidR="005A195B" w:rsidRPr="00DA38BA" w:rsidRDefault="006D199A" w:rsidP="00A57E8A">
      <w:pPr>
        <w:pStyle w:val="Heading1"/>
      </w:pPr>
      <w:r>
        <w:t>Διαβούλευση με τα εμπλεκόμενα κράτη μέλη (Υπαγωγή των εμπορευμάτων σε τελωνειακό καθεστώς, Ειδικά καθεστώτα)</w:t>
      </w:r>
    </w:p>
    <w:p w14:paraId="07D20EA9" w14:textId="44938C98" w:rsidR="00667163" w:rsidRDefault="00A57E8A" w:rsidP="00667163">
      <w:pPr>
        <w:pStyle w:val="Heading2"/>
      </w:pPr>
      <w:r>
        <w:t>Ενδιαφερόμενοι φορείς που εμπλέκονται στη διαδικασία</w:t>
      </w:r>
    </w:p>
    <w:p w14:paraId="47E32026" w14:textId="0DE37F61" w:rsidR="00667163" w:rsidRDefault="00667163" w:rsidP="0034564C">
      <w:pPr>
        <w:pStyle w:val="ListParagraph"/>
        <w:numPr>
          <w:ilvl w:val="0"/>
          <w:numId w:val="42"/>
        </w:numPr>
        <w:ind w:left="568" w:hanging="284"/>
        <w:contextualSpacing w:val="0"/>
      </w:pPr>
      <w:r>
        <w:t>Αρμόδια για τη λήψη απόφασης τελωνειακή αρχή·</w:t>
      </w:r>
    </w:p>
    <w:p w14:paraId="6F5527BF" w14:textId="4219F531" w:rsidR="00667163" w:rsidRDefault="00D921F3" w:rsidP="0034564C">
      <w:pPr>
        <w:pStyle w:val="ListParagraph"/>
        <w:numPr>
          <w:ilvl w:val="0"/>
          <w:numId w:val="42"/>
        </w:numPr>
        <w:ind w:left="568" w:hanging="284"/>
        <w:contextualSpacing w:val="0"/>
      </w:pPr>
      <w:r>
        <w:t>Εμπλεκόμενα κράτη μέλη/Τελωνειακή αρχή της οποίας ζητείται η γνώμη.</w:t>
      </w:r>
    </w:p>
    <w:p w14:paraId="30E2B157" w14:textId="77777777" w:rsidR="00667163" w:rsidRDefault="00667163" w:rsidP="00667163">
      <w:pPr>
        <w:pStyle w:val="Heading2"/>
      </w:pPr>
      <w:r>
        <w:t>Ροή εργασιών</w:t>
      </w:r>
    </w:p>
    <w:p w14:paraId="03BA201D" w14:textId="21DD33CD" w:rsidR="00667163" w:rsidRDefault="00667163" w:rsidP="00667163">
      <w:r>
        <w:t xml:space="preserve">Η διαδικασία διαβούλευσης με τα εμπλεκόμενα κράτη μέλη αποτελεί μέρος της διαδικασίας λήψης απόφασης. Στο </w:t>
      </w:r>
      <w:r>
        <w:fldChar w:fldCharType="begin"/>
      </w:r>
      <w:r>
        <w:instrText xml:space="preserve"> REF _Ref475015953 \h </w:instrText>
      </w:r>
      <w:r>
        <w:fldChar w:fldCharType="separate"/>
      </w:r>
      <w:r w:rsidR="008358F0">
        <w:t>Σχήμα</w:t>
      </w:r>
      <w:r>
        <w:t xml:space="preserve"> </w:t>
      </w:r>
      <w:r>
        <w:rPr>
          <w:noProof/>
        </w:rPr>
        <w:t>1</w:t>
      </w:r>
      <w:r>
        <w:fldChar w:fldCharType="end"/>
      </w:r>
      <w:r>
        <w:t xml:space="preserve"> παρουσιάζεται η υψηλού επιπέδου επισκόπηση της διαδικασίας λήψης απόφασης. Η διαδικασία διαβούλευσης με τα εμπλεκόμενα κράτη μέλη αποτελεί μία από τις «Επικουρικές δραστηριότητες».</w:t>
      </w:r>
    </w:p>
    <w:p w14:paraId="166EB348" w14:textId="77777777" w:rsidR="00667163" w:rsidRDefault="00667163" w:rsidP="00667163"/>
    <w:p w14:paraId="2FE09438" w14:textId="77777777" w:rsidR="00667163" w:rsidRDefault="00667163" w:rsidP="00667163">
      <w:r>
        <w:rPr>
          <w:noProof/>
          <w:lang w:val="en-GB" w:eastAsia="en-GB" w:bidi="ar-SA"/>
        </w:rPr>
        <mc:AlternateContent>
          <mc:Choice Requires="wps">
            <w:drawing>
              <wp:inline distT="0" distB="0" distL="0" distR="0" wp14:anchorId="55A2F19F" wp14:editId="671C5353">
                <wp:extent cx="5748793" cy="2725515"/>
                <wp:effectExtent l="19050" t="19050" r="2349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2B4280C" w14:textId="78354A12" w:rsidR="007C7EA1" w:rsidRPr="00F201C7" w:rsidRDefault="007C7EA1" w:rsidP="00667163">
                            <w:pPr>
                              <w:spacing w:after="0"/>
                              <w:rPr>
                                <w:color w:val="806000" w:themeColor="accent4" w:themeShade="80"/>
                                <w:sz w:val="18"/>
                              </w:rPr>
                            </w:pPr>
                            <w:r>
                              <w:rPr>
                                <w:noProof/>
                                <w:color w:val="806000" w:themeColor="accent4" w:themeShade="80"/>
                                <w:position w:val="-20"/>
                                <w:sz w:val="18"/>
                                <w:szCs w:val="18"/>
                                <w:lang w:val="en-GB" w:eastAsia="en-GB" w:bidi="ar-SA"/>
                              </w:rPr>
                              <w:drawing>
                                <wp:inline distT="0" distB="0" distL="0" distR="0" wp14:anchorId="432BE18A" wp14:editId="057839F6">
                                  <wp:extent cx="360000" cy="360000"/>
                                  <wp:effectExtent l="0" t="0" r="2540" b="2540"/>
                                  <wp:docPr id="3"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3"/>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Σημειώνεται ότι όλες οι αναφορές σε διαβουλεύσεις στην παρούσα ενότητα αναφέρονται μόνο στα είδη αδειών στις ομάδες Υπαγωγής των εμπορευμάτων σε τελωνειακό καθεστώς, Προσωρινής εναπόθεσης και Ειδικών καθεστώτων.</w:t>
                            </w:r>
                          </w:p>
                        </w:txbxContent>
                      </wps:txbx>
                      <wps:bodyPr rot="0" vert="horz" wrap="square" lIns="90000" tIns="0" rIns="91440" bIns="0" anchor="ctr" anchorCtr="0">
                        <a:spAutoFit/>
                      </wps:bodyPr>
                    </wps:wsp>
                  </a:graphicData>
                </a:graphic>
              </wp:inline>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55A2F19F"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y7x9NjwIAAGs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32B4280C" w14:textId="78354A12" w:rsidR="007C7EA1" w:rsidRPr="00F201C7" w:rsidRDefault="007C7EA1" w:rsidP="00667163">
                      <w:pPr>
                        <w:spacing w:after="0"/>
                        <w:rPr>
                          <w:color w:val="806000" w:themeColor="accent4" w:themeShade="80"/>
                          <w:sz w:val="18"/>
                        </w:rPr>
                      </w:pPr>
                      <w:r>
                        <w:rPr>
                          <w:noProof/>
                          <w:color w:val="806000" w:themeColor="accent4" w:themeShade="80"/>
                          <w:position w:val="-20"/>
                          <w:sz w:val="18"/>
                          <w:szCs w:val="18"/>
                        </w:rPr>
                        <w:drawing>
                          <wp:inline xmlns:wp14="http://schemas.microsoft.com/office/word/2010/wordprocessingDrawing" xmlns:wp="http://schemas.openxmlformats.org/drawingml/2006/wordprocessingDrawing" distT="0" distB="0" distL="0" distR="0" wp14:anchorId="432BE18A" wp14:editId="057839F6">
                            <wp:extent cx="360000" cy="360000"/>
                            <wp:effectExtent l="0" t="0" r="2540" b="2540"/>
                            <wp:docPr id="3"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Σημειώνεται ότι όλες οι αναφορές σε διαβουλεύσεις στην παρούσα ενότητα αναφέρονται μόνο στα είδη αδειών στις ομάδες Υπαγωγής των εμπορευμάτων σε τελωνειακό καθεστώς, Προσωρινής εναπόθεσης και Ειδικών καθεστώτων.</w:t>
                      </w:r>
                    </w:p>
                  </w:txbxContent>
                </v:textbox>
                <w10:anchorlock xmlns:w10="urn:schemas-microsoft-com:office:word"/>
              </v:roundrect>
            </w:pict>
          </mc:Fallback>
        </mc:AlternateContent>
      </w:r>
    </w:p>
    <w:p w14:paraId="6BDDAAEF" w14:textId="3110775A" w:rsidR="00667163" w:rsidRDefault="009B1203" w:rsidP="00667163">
      <w:pPr>
        <w:keepNext/>
        <w:jc w:val="center"/>
      </w:pPr>
      <w:r>
        <w:object w:dxaOrig="8475" w:dyaOrig="3960" w14:anchorId="50719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5" o:title=""/>
          </v:shape>
          <o:OLEObject Type="Embed" ProgID="Visio.Drawing.11" ShapeID="_x0000_i1025" DrawAspect="Content" ObjectID="_1611055821" r:id="rId16"/>
        </w:object>
      </w:r>
    </w:p>
    <w:p w14:paraId="31F383E4" w14:textId="09DE7424" w:rsidR="00667163" w:rsidRDefault="00667163" w:rsidP="00667163">
      <w:pPr>
        <w:pStyle w:val="Caption"/>
      </w:pPr>
      <w:bookmarkStart w:id="0" w:name="_Ref475015953"/>
      <w:r>
        <w:t>Σχήμα </w:t>
      </w:r>
      <w:fldSimple w:instr=" SEQ Figure \* ARABIC ">
        <w:r>
          <w:rPr>
            <w:noProof/>
          </w:rPr>
          <w:t>1</w:t>
        </w:r>
      </w:fldSimple>
      <w:bookmarkEnd w:id="0"/>
      <w:r>
        <w:t xml:space="preserve"> – Υψηλού επιπέδου επισκόπηση της διαδικασίας λήψης απόφασης</w:t>
      </w:r>
    </w:p>
    <w:p w14:paraId="50058CB3" w14:textId="77777777" w:rsidR="00667163" w:rsidRDefault="00667163" w:rsidP="00DA38BA"/>
    <w:p w14:paraId="71A0B3AA" w14:textId="121C4C74" w:rsidR="00667163" w:rsidRDefault="00415ADB" w:rsidP="00DA38BA">
      <w:r>
        <w:t xml:space="preserve">Όταν ένα ή περισσότερα κράτη μέλη εμπλέκονται στην τελωνειακή απόφαση (πέραν της DTCA), ο τελωνειακός υπάλληλος μπορεί να ζητήσει την επαλήθευση του σχεδίου άδειας από το/τα εμπλεκόμενο/-α κράτος/-η μέλος/-η. Τα εμπλεκόμενα κράτη μέλη είναι αυτά που ορίζονται από τον αιτούντα, στην αίτηση τελωνειακής απόφασης, στο στοιχείο «Γεωγραφική ισχύς». Τα κράτη μέλη προς </w:t>
      </w:r>
      <w:r>
        <w:lastRenderedPageBreak/>
        <w:t>διαβούλευση θα πρέπει να επιλεγούν από τον τελωνειακό υπάλληλο μεταξύ του καταλόγου των εμπλεκόμενων κρατών μελών.</w:t>
      </w:r>
    </w:p>
    <w:p w14:paraId="36864899" w14:textId="34DF8240" w:rsidR="00D81BFC" w:rsidRDefault="00412BCD" w:rsidP="00DA38BA">
      <w:r>
        <w:t xml:space="preserve">Στο </w:t>
      </w:r>
      <w:r>
        <w:fldChar w:fldCharType="begin"/>
      </w:r>
      <w:r>
        <w:instrText xml:space="preserve"> REF _Ref475970119 \h </w:instrText>
      </w:r>
      <w:r>
        <w:fldChar w:fldCharType="separate"/>
      </w:r>
      <w:r w:rsidR="008358F0">
        <w:t>Σχήμα</w:t>
      </w:r>
      <w:r>
        <w:t xml:space="preserve"> </w:t>
      </w:r>
      <w:r>
        <w:rPr>
          <w:noProof/>
        </w:rPr>
        <w:t>2</w:t>
      </w:r>
      <w:r>
        <w:fldChar w:fldCharType="end"/>
      </w:r>
      <w:r>
        <w:t xml:space="preserve"> παρουσιάζεται η υψηλού επιπέδου επισκόπηση της διαδικασίας διαβούλευσης με τα εμπλεκόμενα κράτη μέλη.</w:t>
      </w:r>
    </w:p>
    <w:p w14:paraId="589BF963" w14:textId="77777777" w:rsidR="00D81BFC" w:rsidRDefault="00D81BFC" w:rsidP="00DA38BA"/>
    <w:p w14:paraId="0E652279" w14:textId="74150BBF" w:rsidR="00412BCD" w:rsidRDefault="009B1203" w:rsidP="00412BCD">
      <w:pPr>
        <w:keepNext/>
        <w:jc w:val="center"/>
      </w:pPr>
      <w:r>
        <w:object w:dxaOrig="8475" w:dyaOrig="5258" w14:anchorId="47CB451E">
          <v:shape id="_x0000_i1026" type="#_x0000_t75" style="width:423.75pt;height:262.9pt" o:ole="">
            <v:imagedata r:id="rId17" o:title=""/>
          </v:shape>
          <o:OLEObject Type="Embed" ProgID="Visio.Drawing.11" ShapeID="_x0000_i1026" DrawAspect="Content" ObjectID="_1611055822" r:id="rId18"/>
        </w:object>
      </w:r>
    </w:p>
    <w:p w14:paraId="5DF927BC" w14:textId="32AE8ACD" w:rsidR="00D81BFC" w:rsidRDefault="00412BCD" w:rsidP="00412BCD">
      <w:pPr>
        <w:pStyle w:val="Caption"/>
      </w:pPr>
      <w:bookmarkStart w:id="1" w:name="_Ref475970119"/>
      <w:r>
        <w:t>Σχήμα </w:t>
      </w:r>
      <w:fldSimple w:instr=" SEQ Figure \* ARABIC ">
        <w:r>
          <w:rPr>
            <w:noProof/>
          </w:rPr>
          <w:t>2</w:t>
        </w:r>
      </w:fldSimple>
      <w:bookmarkEnd w:id="1"/>
      <w:r>
        <w:t xml:space="preserve"> – Υψηλού επιπέδου επισκόπηση της διαδικασίας διαβούλευσης με τα εμπλεκόμενα κράτη μέλη</w:t>
      </w:r>
    </w:p>
    <w:p w14:paraId="2F21FE99" w14:textId="77777777" w:rsidR="004E1582" w:rsidRDefault="004E1582" w:rsidP="004E1582"/>
    <w:p w14:paraId="7A0ED5C5" w14:textId="49282BE2" w:rsidR="00D57890" w:rsidRDefault="00D57890" w:rsidP="004E1582">
      <w:r>
        <w:t>Η διαδικασία ξεκινά διαφορετικά για τα προαναφερθέντα είδη αδειών:</w:t>
      </w:r>
    </w:p>
    <w:p w14:paraId="37AE9497" w14:textId="6E6FDC6D" w:rsidR="00D57890" w:rsidRDefault="00D57890" w:rsidP="00AA080E">
      <w:pPr>
        <w:pStyle w:val="ListParagraph"/>
        <w:numPr>
          <w:ilvl w:val="0"/>
          <w:numId w:val="44"/>
        </w:numPr>
        <w:ind w:left="568" w:hanging="284"/>
        <w:contextualSpacing w:val="0"/>
      </w:pPr>
      <w:r>
        <w:rPr>
          <w:b/>
        </w:rPr>
        <w:t>Υπαγωγή των εμπορευμάτων σε τελωνειακό καθεστώς και προσωρινή εναπόθεση</w:t>
      </w:r>
      <w:r>
        <w:t xml:space="preserve"> - ο τελωνειακός υπάλληλος καταγράφει τα κράτη μέλη των οποίων ζητείται η γνώμη·</w:t>
      </w:r>
    </w:p>
    <w:p w14:paraId="78A93134" w14:textId="52DE787C" w:rsidR="00D57890" w:rsidRDefault="00D57890" w:rsidP="00AA080E">
      <w:pPr>
        <w:pStyle w:val="ListParagraph"/>
        <w:numPr>
          <w:ilvl w:val="0"/>
          <w:numId w:val="44"/>
        </w:numPr>
        <w:ind w:left="568" w:hanging="284"/>
        <w:contextualSpacing w:val="0"/>
      </w:pPr>
      <w:r>
        <w:rPr>
          <w:b/>
        </w:rPr>
        <w:t>Ειδικά καθεστώτα και εγκαταστάσεις εναπόθεσης</w:t>
      </w:r>
      <w:r>
        <w:t xml:space="preserve"> - ο τελωνειακός υπάλληλος καταγράφει για κάθε εμπλεκόμενο κράτος μέλος κατά πόσον έχει συμφωνηθεί η αντικατάσταση της προηγούμενης συμφωνίας, καθώς και των πληροφοριών προς υποβολή, ή κατά πόσον υπάρχει συμφωνία να μην προβεί σε διαβουλεύσεις. Είναι δυνατά τα ακόλουθα αποτελέσματα:</w:t>
      </w:r>
    </w:p>
    <w:p w14:paraId="75C003DE" w14:textId="0129CB08" w:rsidR="00D57890" w:rsidRDefault="00D57890" w:rsidP="00AA080E">
      <w:pPr>
        <w:pStyle w:val="ListParagraph"/>
        <w:numPr>
          <w:ilvl w:val="1"/>
          <w:numId w:val="44"/>
        </w:numPr>
        <w:ind w:left="1361" w:hanging="284"/>
        <w:contextualSpacing w:val="0"/>
      </w:pPr>
      <w:r>
        <w:t>Για κάθε κράτος μέλος για το οποίο έχει συμφωνηθεί να αντικατασταθεί η προηγούμενη συμφωνία και οι πληροφορίες προς υποβολή, θα αποσταλεί απλή γνωστοποίηση της «μελλοντικής» άδειας και δεν απαιτείται περαιτέρω διαβούλευση.</w:t>
      </w:r>
    </w:p>
    <w:p w14:paraId="62615927" w14:textId="183FAAA9" w:rsidR="00D57890" w:rsidRDefault="00D57890" w:rsidP="00AA080E">
      <w:pPr>
        <w:pStyle w:val="ListParagraph"/>
        <w:numPr>
          <w:ilvl w:val="1"/>
          <w:numId w:val="44"/>
        </w:numPr>
        <w:ind w:left="1361" w:hanging="284"/>
        <w:contextualSpacing w:val="0"/>
      </w:pPr>
      <w:r>
        <w:t>Για κάθε κράτος μέλος για το οποίο έχει συμφωνηθεί να μην προβεί σε διαβούλευση, η διαδικασία θα λήξει.</w:t>
      </w:r>
    </w:p>
    <w:p w14:paraId="6653A48D" w14:textId="37D43767" w:rsidR="00D57890" w:rsidRDefault="008F6A1F" w:rsidP="00AA080E">
      <w:pPr>
        <w:pStyle w:val="ListParagraph"/>
        <w:numPr>
          <w:ilvl w:val="1"/>
          <w:numId w:val="44"/>
        </w:numPr>
        <w:ind w:left="1361" w:hanging="284"/>
        <w:contextualSpacing w:val="0"/>
      </w:pPr>
      <w:r>
        <w:t>Για κάθε άλλο κράτος μέλος που πρόκειται να λάβει μέρος στη διαβούλευση, η διαδικασία θα συνεχιστεί.</w:t>
      </w:r>
    </w:p>
    <w:p w14:paraId="46310002" w14:textId="05FC2E22" w:rsidR="004E1582" w:rsidRDefault="008F6A1F" w:rsidP="004E1582">
      <w:r>
        <w:t xml:space="preserve">Εάν η διαδικασία διαβούλευσης συνεχιστεί, ο τελωνειακός υπάλληλος ζητά από τα εμπλεκόμενα κράτη μέλη να εγκρίνουν το σχέδιο άδειας ή να διατυπώσουν αντιρρήσεις σχετικά με αυτό. Η αίτηση διαβούλευσης που υποβάλλεται στον τελωνειακό υπάλληλο του/των κράτους/-ών μέλους/-ών του/των οποίου/-ων ζητείται η γνώμη περιλαμβάνει τα ακόλουθα στοιχεία (ενδεικτικά): </w:t>
      </w:r>
    </w:p>
    <w:p w14:paraId="3CA015EC" w14:textId="5D82D84E" w:rsidR="00EE35D0" w:rsidRDefault="00FF7DB7" w:rsidP="00AA080E">
      <w:pPr>
        <w:pStyle w:val="ListParagraph"/>
        <w:numPr>
          <w:ilvl w:val="0"/>
          <w:numId w:val="43"/>
        </w:numPr>
        <w:ind w:left="568" w:hanging="284"/>
        <w:contextualSpacing w:val="0"/>
      </w:pPr>
      <w:r>
        <w:t>Αποδοχή άδειας·</w:t>
      </w:r>
    </w:p>
    <w:p w14:paraId="606F8354" w14:textId="15FFD273" w:rsidR="004E1582" w:rsidRDefault="004E1582" w:rsidP="00AA080E">
      <w:pPr>
        <w:pStyle w:val="ListParagraph"/>
        <w:numPr>
          <w:ilvl w:val="0"/>
          <w:numId w:val="43"/>
        </w:numPr>
        <w:ind w:left="568" w:hanging="284"/>
        <w:contextualSpacing w:val="0"/>
      </w:pPr>
      <w:r>
        <w:t>Σχέδιο άδειας·</w:t>
      </w:r>
    </w:p>
    <w:p w14:paraId="1D30A41C" w14:textId="6979F95D" w:rsidR="00EE35D0" w:rsidRDefault="00EE35D0" w:rsidP="00AA080E">
      <w:pPr>
        <w:pStyle w:val="ListParagraph"/>
        <w:numPr>
          <w:ilvl w:val="0"/>
          <w:numId w:val="43"/>
        </w:numPr>
        <w:ind w:left="568" w:hanging="284"/>
        <w:contextualSpacing w:val="0"/>
      </w:pPr>
      <w:r>
        <w:lastRenderedPageBreak/>
        <w:t>Σχέδιο ελέγχου, κατά περίπτωση·</w:t>
      </w:r>
    </w:p>
    <w:p w14:paraId="0133F0AE" w14:textId="70FE413A" w:rsidR="00F27B5E" w:rsidRPr="00F27B5E" w:rsidRDefault="00EE35D0" w:rsidP="00AA080E">
      <w:pPr>
        <w:pStyle w:val="ListParagraph"/>
        <w:numPr>
          <w:ilvl w:val="0"/>
          <w:numId w:val="43"/>
        </w:numPr>
        <w:ind w:left="568" w:hanging="284"/>
        <w:contextualSpacing w:val="0"/>
      </w:pPr>
      <w:r>
        <w:t>Προθεσμία για την επίτευξη συμφωνίας ή τη διατύπωση αντιρρήσεων σχετικά με το σχέδιο άδειας.</w:t>
      </w:r>
    </w:p>
    <w:p w14:paraId="4846D905" w14:textId="6E5BEC1E" w:rsidR="00EE35D0" w:rsidRDefault="00F27B5E" w:rsidP="00EE35D0">
      <w:r>
        <w:t xml:space="preserve">Ο τελωνειακός υπάλληλος του κράτους μέλους του οποίου ζητείται η γνώμη θα πρέπει να συμφωνήσει ή να διατυπώσει αντιρρήσεις σχετικά με το σχέδιο άδειας εντός συγκεκριμένης προθεσμίας. Η προθεσμία για την επίτευξη συμφωνίας ή την υποβολή αντιρρήσεων σχετικά με το σχέδιο άδειας ορίζεται νομικά και ποικίλλει ανάλογα με το είδος της άδειας όπως απεικονίζεται στον </w:t>
      </w:r>
      <w:r>
        <w:fldChar w:fldCharType="begin"/>
      </w:r>
      <w:r>
        <w:instrText xml:space="preserve"> REF _Ref475533943 \h </w:instrText>
      </w:r>
      <w:r>
        <w:fldChar w:fldCharType="separate"/>
      </w:r>
      <w:r w:rsidR="008358F0">
        <w:t>Πίνακα</w:t>
      </w:r>
      <w:r>
        <w:t xml:space="preserve"> </w:t>
      </w:r>
      <w:r>
        <w:rPr>
          <w:noProof/>
        </w:rPr>
        <w:t>1</w:t>
      </w:r>
      <w:r>
        <w:fldChar w:fldCharType="end"/>
      </w:r>
      <w:r>
        <w:t xml:space="preserve">. </w:t>
      </w:r>
    </w:p>
    <w:tbl>
      <w:tblPr>
        <w:tblStyle w:val="GridTable5Dark-Accent41"/>
        <w:tblW w:w="0" w:type="auto"/>
        <w:jc w:val="center"/>
        <w:tblLook w:val="0420" w:firstRow="1" w:lastRow="0" w:firstColumn="0" w:lastColumn="0" w:noHBand="0" w:noVBand="1"/>
      </w:tblPr>
      <w:tblGrid>
        <w:gridCol w:w="5561"/>
        <w:gridCol w:w="3008"/>
      </w:tblGrid>
      <w:tr w:rsidR="00EE35D0" w14:paraId="5466B976" w14:textId="77777777" w:rsidTr="00F27B5E">
        <w:trPr>
          <w:cnfStyle w:val="100000000000" w:firstRow="1" w:lastRow="0" w:firstColumn="0" w:lastColumn="0" w:oddVBand="0" w:evenVBand="0" w:oddHBand="0" w:evenHBand="0" w:firstRowFirstColumn="0" w:firstRowLastColumn="0" w:lastRowFirstColumn="0" w:lastRowLastColumn="0"/>
          <w:jc w:val="center"/>
        </w:trPr>
        <w:tc>
          <w:tcPr>
            <w:tcW w:w="5561" w:type="dxa"/>
          </w:tcPr>
          <w:p w14:paraId="42B40F2C" w14:textId="77777777" w:rsidR="00EE35D0" w:rsidRDefault="00EE35D0" w:rsidP="001E6829">
            <w:pPr>
              <w:keepNext/>
              <w:spacing w:before="120"/>
              <w:jc w:val="left"/>
            </w:pPr>
            <w:r>
              <w:t>Είδος άδειας</w:t>
            </w:r>
          </w:p>
        </w:tc>
        <w:tc>
          <w:tcPr>
            <w:tcW w:w="3008" w:type="dxa"/>
            <w:vAlign w:val="center"/>
          </w:tcPr>
          <w:p w14:paraId="10B6EB1F" w14:textId="662E7D0C" w:rsidR="00EE35D0" w:rsidRDefault="00EE35D0" w:rsidP="001E6829">
            <w:pPr>
              <w:keepNext/>
              <w:spacing w:before="120"/>
              <w:jc w:val="center"/>
            </w:pPr>
            <w:r>
              <w:t>Προθεσμία επίτευξης συμφωνίας/διατύπωσης αντιρρήσεων (ημέρες)</w:t>
            </w:r>
          </w:p>
        </w:tc>
      </w:tr>
      <w:tr w:rsidR="00EE35D0" w14:paraId="024F6B17" w14:textId="77777777" w:rsidTr="007C7EA1">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11D06215" w14:textId="77777777" w:rsidR="00EE35D0" w:rsidRPr="00E75DB3" w:rsidRDefault="00EE35D0" w:rsidP="001E6829">
            <w:pPr>
              <w:keepNext/>
              <w:spacing w:before="60" w:after="60"/>
              <w:jc w:val="left"/>
              <w:rPr>
                <w:b/>
              </w:rPr>
            </w:pPr>
            <w:r>
              <w:rPr>
                <w:b/>
              </w:rPr>
              <w:t>Υπαγωγή των εμπορευμάτων σε τελωνειακό καθεστώς και προσωρινή εναπόθεση</w:t>
            </w:r>
          </w:p>
        </w:tc>
      </w:tr>
      <w:tr w:rsidR="00EE35D0" w14:paraId="46FA139B" w14:textId="77777777" w:rsidTr="00F27B5E">
        <w:trPr>
          <w:jc w:val="center"/>
        </w:trPr>
        <w:tc>
          <w:tcPr>
            <w:tcW w:w="5561" w:type="dxa"/>
          </w:tcPr>
          <w:p w14:paraId="3199988E" w14:textId="4488C9EC" w:rsidR="00EE35D0" w:rsidRPr="00E75DB3" w:rsidRDefault="00543598" w:rsidP="001E6829">
            <w:pPr>
              <w:keepNext/>
              <w:spacing w:before="60" w:after="60"/>
              <w:jc w:val="left"/>
            </w:pPr>
            <w:r>
              <w:t xml:space="preserve">        Άδεια για κεντρικό τελωνισμό</w:t>
            </w:r>
          </w:p>
        </w:tc>
        <w:tc>
          <w:tcPr>
            <w:tcW w:w="3008" w:type="dxa"/>
          </w:tcPr>
          <w:p w14:paraId="6C7E5E71" w14:textId="6F847512" w:rsidR="00EE35D0" w:rsidRDefault="00EE35D0" w:rsidP="001E6829">
            <w:pPr>
              <w:keepNext/>
              <w:spacing w:before="60" w:after="60"/>
              <w:jc w:val="center"/>
            </w:pPr>
            <w:r>
              <w:t>45</w:t>
            </w:r>
          </w:p>
        </w:tc>
      </w:tr>
      <w:tr w:rsidR="00EE35D0" w14:paraId="4FF4F34D" w14:textId="77777777" w:rsidTr="00F27B5E">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02CEF336" w14:textId="68958E50" w:rsidR="00EE35D0" w:rsidRPr="00E75DB3" w:rsidRDefault="00543598" w:rsidP="001E6829">
            <w:pPr>
              <w:keepNext/>
              <w:spacing w:before="60" w:after="60"/>
              <w:jc w:val="left"/>
            </w:pPr>
            <w:r>
              <w:t xml:space="preserve">        Όλες οι λοιπές άδειες</w:t>
            </w:r>
          </w:p>
        </w:tc>
        <w:tc>
          <w:tcPr>
            <w:tcW w:w="3008" w:type="dxa"/>
          </w:tcPr>
          <w:p w14:paraId="5855002F" w14:textId="4E6DA62C" w:rsidR="00EE35D0" w:rsidRDefault="00EE35D0" w:rsidP="001E6829">
            <w:pPr>
              <w:keepNext/>
              <w:spacing w:before="60" w:after="60"/>
              <w:jc w:val="center"/>
            </w:pPr>
            <w:r>
              <w:t>30</w:t>
            </w:r>
          </w:p>
        </w:tc>
      </w:tr>
      <w:tr w:rsidR="00EE35D0" w14:paraId="16C044A9" w14:textId="77777777" w:rsidTr="00F27B5E">
        <w:trPr>
          <w:jc w:val="center"/>
        </w:trPr>
        <w:tc>
          <w:tcPr>
            <w:tcW w:w="5561" w:type="dxa"/>
            <w:vAlign w:val="center"/>
          </w:tcPr>
          <w:p w14:paraId="529703A3" w14:textId="77777777" w:rsidR="00EE35D0" w:rsidRPr="00E75DB3" w:rsidRDefault="00EE35D0" w:rsidP="001E6829">
            <w:pPr>
              <w:keepNext/>
              <w:spacing w:before="60" w:after="60"/>
              <w:jc w:val="left"/>
              <w:rPr>
                <w:b/>
              </w:rPr>
            </w:pPr>
            <w:r>
              <w:rPr>
                <w:b/>
              </w:rPr>
              <w:t>Ειδικά καθεστώτα</w:t>
            </w:r>
          </w:p>
        </w:tc>
        <w:tc>
          <w:tcPr>
            <w:tcW w:w="3008" w:type="dxa"/>
          </w:tcPr>
          <w:p w14:paraId="0673779C" w14:textId="58A6B759" w:rsidR="00EE35D0" w:rsidRPr="00E75DB3" w:rsidRDefault="00EE35D0" w:rsidP="001E6829">
            <w:pPr>
              <w:keepNext/>
              <w:spacing w:before="60" w:after="60"/>
              <w:jc w:val="center"/>
              <w:rPr>
                <w:b/>
              </w:rPr>
            </w:pPr>
          </w:p>
        </w:tc>
      </w:tr>
      <w:tr w:rsidR="00EE35D0" w14:paraId="3C5A9AF5" w14:textId="77777777" w:rsidTr="00F27B5E">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6916C894" w14:textId="1CB46629" w:rsidR="00EE35D0" w:rsidRPr="00E75DB3" w:rsidRDefault="00543598" w:rsidP="001E6829">
            <w:pPr>
              <w:keepNext/>
              <w:spacing w:before="60" w:after="60"/>
              <w:jc w:val="left"/>
            </w:pPr>
            <w:r>
              <w:t xml:space="preserve">        Όλες οι άδειες</w:t>
            </w:r>
          </w:p>
        </w:tc>
        <w:tc>
          <w:tcPr>
            <w:tcW w:w="3008" w:type="dxa"/>
          </w:tcPr>
          <w:p w14:paraId="2A19D705" w14:textId="5D607895" w:rsidR="00EE35D0" w:rsidRDefault="00EE35D0" w:rsidP="0068257C">
            <w:pPr>
              <w:keepNext/>
              <w:spacing w:before="60" w:after="60"/>
              <w:jc w:val="center"/>
            </w:pPr>
            <w:r>
              <w:t>30</w:t>
            </w:r>
          </w:p>
        </w:tc>
      </w:tr>
    </w:tbl>
    <w:p w14:paraId="5C26A645" w14:textId="5A7195C7" w:rsidR="00F27B5E" w:rsidRDefault="00F27B5E">
      <w:pPr>
        <w:pStyle w:val="Caption"/>
      </w:pPr>
      <w:bookmarkStart w:id="2" w:name="_Ref475533943"/>
      <w:r>
        <w:t>Πίνακας </w:t>
      </w:r>
      <w:fldSimple w:instr=" SEQ Table \* ARABIC ">
        <w:r>
          <w:rPr>
            <w:noProof/>
          </w:rPr>
          <w:t>1</w:t>
        </w:r>
      </w:fldSimple>
      <w:bookmarkEnd w:id="2"/>
      <w:r>
        <w:t xml:space="preserve"> Προθεσμία επίτευξης συμφωνίας/διατύπωσης ενστάσεων</w:t>
      </w:r>
    </w:p>
    <w:p w14:paraId="54359831" w14:textId="48A613A0" w:rsidR="00E93C3B" w:rsidRDefault="00E93C3B" w:rsidP="004E1582">
      <w:r>
        <w:t>Μόλις ο τελωνειακός υπάλληλος του εμπλεκόμενου κράτους μέλους λάβει την αίτηση διαβούλευσης, θα πρέπει να ενεργήσει ως εξής:</w:t>
      </w:r>
    </w:p>
    <w:p w14:paraId="451E0B60" w14:textId="725A0773" w:rsidR="00654072" w:rsidRDefault="00654072" w:rsidP="00AA080E">
      <w:pPr>
        <w:pStyle w:val="ListParagraph"/>
        <w:numPr>
          <w:ilvl w:val="0"/>
          <w:numId w:val="43"/>
        </w:numPr>
        <w:ind w:left="568" w:hanging="284"/>
        <w:contextualSpacing w:val="0"/>
      </w:pPr>
      <w:r>
        <w:t>Συμφωνεί με το προσχέδιο άδειας· ή</w:t>
      </w:r>
    </w:p>
    <w:p w14:paraId="588AD11A" w14:textId="4A205792" w:rsidR="00654072" w:rsidRDefault="00654072" w:rsidP="00AA080E">
      <w:pPr>
        <w:pStyle w:val="ListParagraph"/>
        <w:numPr>
          <w:ilvl w:val="0"/>
          <w:numId w:val="43"/>
        </w:numPr>
        <w:ind w:left="568" w:hanging="284"/>
        <w:contextualSpacing w:val="0"/>
      </w:pPr>
      <w:r>
        <w:t>Διατυπώνει αντιρρήσεις σχετικά με το σχέδιο άδειας.</w:t>
      </w:r>
    </w:p>
    <w:p w14:paraId="38D123AC" w14:textId="758467FB" w:rsidR="00FF7DB7" w:rsidRDefault="00FF7DB7" w:rsidP="0017140D">
      <w:r>
        <w:t xml:space="preserve">Όταν ο τελωνειακός υπάλληλος του εμπλεκόμενου κράτους μέλους δεν συμφωνήσει ή δεν διατυπώσει αντιρρήσεις σχετικά με το σχέδιο άδειας εντός της προβλεπόμενης προθεσμίας, το σχέδιο άδειας θεωρείται αυτομάτως αποδεκτό από το κράτος μέλος του οποίου ζητείται η γνώμη. </w:t>
      </w:r>
    </w:p>
    <w:p w14:paraId="55CC47B7" w14:textId="72820078" w:rsidR="00CD6DEB" w:rsidRDefault="00CD6DEB" w:rsidP="00CD6DEB">
      <w:r>
        <w:t>Εάν ο τελωνειακός υπάλληλος του εμπλεκόμενου κράτους μέλους συμφωνήσει σχετικά με το προτεινόμενο σχέδιο άδειας, ενημερώνει σχετικά την DTCA και, στη συνέχεια, δεν χρειάζεται να προβεί σε κάποια άλλη ενέργεια. Ο τελωνειακός υπάλληλος της αρμόδιας για τη λήψη απόφασης τελωνειακής αρχής ενημερώνεται σχετικά με το αποτέλεσμα της διαβούλευσης.</w:t>
      </w:r>
    </w:p>
    <w:p w14:paraId="14DC440A" w14:textId="11A80730" w:rsidR="00056FF3" w:rsidRDefault="00473C0F" w:rsidP="0017140D">
      <w:r>
        <w:t>Εάν ο τελωνειακός υπάλληλος του κράτους μέλους του οποίου ζητείται η γνώμη δεν συμφωνεί με το σχέδιο άδειας, θα πρέπει να διατυπώσει αντιρρήσεις και να τις διαβιβάσει στον τελωνειακό υπάλληλο ή την αρμόδια για τη λήψη απόφασης τελωνειακή αρχή.</w:t>
      </w:r>
    </w:p>
    <w:p w14:paraId="40DDD492" w14:textId="0EE66A5E" w:rsidR="00473C0F" w:rsidRDefault="00FF7DB7" w:rsidP="00CD6DEB">
      <w:r>
        <w:t>Μετά την παραλαβή των αντιρρήσεων από αρμόδια για τη λήψη απόφασης τελωνειακή αρχή, ο τελωνειακός υπάλληλος θα πρέπει να αποφασίσει αν οι αντιρρήσεις που διατυπώθηκαν είναι αποδεκτές ή όχι και να προβεί σε μία από τις ακόλουθες ενέργειες:</w:t>
      </w:r>
    </w:p>
    <w:p w14:paraId="5AC2F8BE" w14:textId="34F05577" w:rsidR="00151C20" w:rsidRDefault="00FF7DB7" w:rsidP="00AA080E">
      <w:pPr>
        <w:pStyle w:val="ListParagraph"/>
        <w:numPr>
          <w:ilvl w:val="0"/>
          <w:numId w:val="43"/>
        </w:numPr>
        <w:ind w:left="568" w:hanging="284"/>
        <w:contextualSpacing w:val="0"/>
      </w:pPr>
      <w:r>
        <w:t xml:space="preserve">Προκειμένου να </w:t>
      </w:r>
      <w:r>
        <w:rPr>
          <w:b/>
        </w:rPr>
        <w:t>επιτευχθεί συμφωνία</w:t>
      </w:r>
      <w:r>
        <w:t>, ο τελωνειακός υπάλληλος αποφασίζει να επικαιροποιήσει το σχέδιο άδειας. Ο τελωνειακός υπάλληλος επιλέγει τα κράτη μέλη τα οποία θα πρέπει να ενημερωθούν σχετικά με την αλλαγή και το σχέδιο άδειας υποβάλλεται στη συνέχεια στους τελωνειακούς υπαλλήλους των εν λόγω κρατών μελών.</w:t>
      </w:r>
    </w:p>
    <w:p w14:paraId="2DE4B7BE" w14:textId="68BFD5A4" w:rsidR="00151C20" w:rsidRDefault="007C7EA1" w:rsidP="00AA080E">
      <w:pPr>
        <w:pStyle w:val="ListParagraph"/>
        <w:numPr>
          <w:ilvl w:val="0"/>
          <w:numId w:val="43"/>
        </w:numPr>
        <w:ind w:left="568" w:hanging="284"/>
        <w:contextualSpacing w:val="0"/>
      </w:pPr>
      <w:r>
        <w:t>Ο τελωνειακός υπάλληλος αποφασίζει να μην επικαιροποιήσει το σχέδιο άδειας.</w:t>
      </w:r>
    </w:p>
    <w:p w14:paraId="2273EBDE" w14:textId="77777777" w:rsidR="00147226" w:rsidRDefault="00147226" w:rsidP="00147226">
      <w:pPr>
        <w:pStyle w:val="ListParagraph"/>
        <w:ind w:left="568"/>
        <w:contextualSpacing w:val="0"/>
      </w:pPr>
    </w:p>
    <w:p w14:paraId="1D631AA0" w14:textId="7827FDBB" w:rsidR="00B65828" w:rsidRDefault="00B65828" w:rsidP="00B65828">
      <w:r>
        <w:rPr>
          <w:noProof/>
          <w:lang w:val="en-GB" w:eastAsia="en-GB" w:bidi="ar-SA"/>
        </w:rPr>
        <w:lastRenderedPageBreak/>
        <mc:AlternateContent>
          <mc:Choice Requires="wps">
            <w:drawing>
              <wp:inline distT="0" distB="0" distL="0" distR="0" wp14:anchorId="313DEDF0" wp14:editId="2FDDE588">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12C7F6D" w14:textId="5697EB58" w:rsidR="00B65828" w:rsidRPr="00F201C7" w:rsidRDefault="00B65828" w:rsidP="00B65828">
                            <w:pPr>
                              <w:spacing w:after="0"/>
                              <w:rPr>
                                <w:color w:val="806000" w:themeColor="accent4" w:themeShade="80"/>
                                <w:sz w:val="18"/>
                              </w:rPr>
                            </w:pPr>
                            <w:r>
                              <w:rPr>
                                <w:noProof/>
                                <w:color w:val="806000" w:themeColor="accent4" w:themeShade="80"/>
                                <w:position w:val="-20"/>
                                <w:sz w:val="18"/>
                                <w:szCs w:val="18"/>
                                <w:lang w:val="en-GB" w:eastAsia="en-GB" w:bidi="ar-SA"/>
                              </w:rPr>
                              <w:drawing>
                                <wp:inline distT="0" distB="0" distL="0" distR="0" wp14:anchorId="457D69B8" wp14:editId="774DA10A">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3"/>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 xml:space="preserve">Αξίζει να σημειωθεί ότι η επίτευξη συμφωνίας αποτελεί μια επαναληπτική διαδικασία. Είναι δυνατές περισσότερες ανταλλαγές μεταξύ της DTCA και των εμπλεκόμενων τελωνειακών υπαλλήλων. </w:t>
                            </w:r>
                          </w:p>
                        </w:txbxContent>
                      </wps:txbx>
                      <wps:bodyPr rot="0" vert="horz" wrap="square" lIns="90000" tIns="0" rIns="91440" bIns="0" anchor="ctr" anchorCtr="0">
                        <a:spAutoFit/>
                      </wps:bodyPr>
                    </wps:wsp>
                  </a:graphicData>
                </a:graphic>
              </wp:inline>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313DEDF0" id="_x0000_s1027"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4WMUXjwIAAHI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712C7F6D" w14:textId="5697EB58" w:rsidR="00B65828" w:rsidRPr="00F201C7" w:rsidRDefault="00B65828" w:rsidP="00B65828">
                      <w:pPr>
                        <w:spacing w:after="0"/>
                        <w:rPr>
                          <w:color w:val="806000" w:themeColor="accent4" w:themeShade="80"/>
                          <w:sz w:val="18"/>
                        </w:rPr>
                      </w:pPr>
                      <w:r>
                        <w:rPr>
                          <w:noProof/>
                          <w:color w:val="806000" w:themeColor="accent4" w:themeShade="80"/>
                          <w:position w:val="-20"/>
                          <w:sz w:val="18"/>
                          <w:szCs w:val="18"/>
                        </w:rPr>
                        <w:drawing>
                          <wp:inline xmlns:wp14="http://schemas.microsoft.com/office/word/2010/wordprocessingDrawing" xmlns:wp="http://schemas.openxmlformats.org/drawingml/2006/wordprocessingDrawing" distT="0" distB="0" distL="0" distR="0" wp14:anchorId="457D69B8" wp14:editId="774DA10A">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 </w:t>
                      </w:r>
                      <w:r>
                        <w:rPr>
                          <w:color w:val="806000" w:themeColor="accent4" w:themeShade="80"/>
                          <w:sz w:val="18"/>
                        </w:rPr>
                        <w:t xml:space="preserve">Αξίζει να σημειωθεί ότι η επίτευξη συμφωνίας αποτελεί μια επαναληπτική διαδικασία. </w:t>
                      </w:r>
                      <w:r>
                        <w:rPr>
                          <w:color w:val="806000" w:themeColor="accent4" w:themeShade="80"/>
                          <w:sz w:val="18"/>
                        </w:rPr>
                        <w:t xml:space="preserve">Είναι δυνατές περισσότερες ανταλλαγές μεταξύ της DTCA και των εμπλεκόμενων τελωνειακών υπαλλήλων. </w:t>
                      </w:r>
                    </w:p>
                  </w:txbxContent>
                </v:textbox>
                <w10:anchorlock xmlns:w10="urn:schemas-microsoft-com:office:word"/>
              </v:roundrect>
            </w:pict>
          </mc:Fallback>
        </mc:AlternateContent>
      </w:r>
    </w:p>
    <w:p w14:paraId="53B4676C" w14:textId="77777777" w:rsidR="00B65828" w:rsidRDefault="00B65828" w:rsidP="00B65828"/>
    <w:p w14:paraId="4AF0786B" w14:textId="42BC049B" w:rsidR="00B65828" w:rsidRDefault="00B65828" w:rsidP="00B65828">
      <w:r>
        <w:t xml:space="preserve">Για την επίτευξη συμφωνίας, η νομοθεσία προβλέπει προθεσμία. Η προθεσμία εξαρτάται από το είδος άδειας και απεικονίζεται στον </w:t>
      </w:r>
      <w:r>
        <w:fldChar w:fldCharType="begin"/>
      </w:r>
      <w:r>
        <w:instrText xml:space="preserve"> REF _Ref475536054 \h </w:instrText>
      </w:r>
      <w:r>
        <w:fldChar w:fldCharType="separate"/>
      </w:r>
      <w:r w:rsidR="008358F0">
        <w:t>Πίνακα</w:t>
      </w:r>
      <w:r>
        <w:t xml:space="preserve"> </w:t>
      </w:r>
      <w:r>
        <w:rPr>
          <w:noProof/>
        </w:rPr>
        <w:t>2</w:t>
      </w:r>
      <w:r>
        <w:fldChar w:fldCharType="end"/>
      </w:r>
      <w:r>
        <w:t>.</w:t>
      </w:r>
    </w:p>
    <w:p w14:paraId="25A4AF91" w14:textId="77777777" w:rsidR="00B65828" w:rsidRDefault="00B65828" w:rsidP="00B65828"/>
    <w:tbl>
      <w:tblPr>
        <w:tblStyle w:val="GridTable5Dark-Accent41"/>
        <w:tblW w:w="0" w:type="auto"/>
        <w:jc w:val="center"/>
        <w:tblLook w:val="0420" w:firstRow="1" w:lastRow="0" w:firstColumn="0" w:lastColumn="0" w:noHBand="0" w:noVBand="1"/>
      </w:tblPr>
      <w:tblGrid>
        <w:gridCol w:w="5561"/>
        <w:gridCol w:w="3008"/>
      </w:tblGrid>
      <w:tr w:rsidR="00B65828" w14:paraId="7930C4BD" w14:textId="77777777" w:rsidTr="001E6829">
        <w:trPr>
          <w:cnfStyle w:val="100000000000" w:firstRow="1" w:lastRow="0" w:firstColumn="0" w:lastColumn="0" w:oddVBand="0" w:evenVBand="0" w:oddHBand="0" w:evenHBand="0" w:firstRowFirstColumn="0" w:firstRowLastColumn="0" w:lastRowFirstColumn="0" w:lastRowLastColumn="0"/>
          <w:tblHeader/>
          <w:jc w:val="center"/>
        </w:trPr>
        <w:tc>
          <w:tcPr>
            <w:tcW w:w="5561" w:type="dxa"/>
          </w:tcPr>
          <w:p w14:paraId="6DDB6C23" w14:textId="77777777" w:rsidR="00B65828" w:rsidRDefault="00B65828" w:rsidP="001E6829">
            <w:pPr>
              <w:keepNext/>
              <w:spacing w:before="120"/>
              <w:jc w:val="left"/>
            </w:pPr>
            <w:r>
              <w:t>Είδος άδειας</w:t>
            </w:r>
          </w:p>
        </w:tc>
        <w:tc>
          <w:tcPr>
            <w:tcW w:w="3008" w:type="dxa"/>
            <w:vAlign w:val="center"/>
          </w:tcPr>
          <w:p w14:paraId="15D0754D" w14:textId="4B9F7715" w:rsidR="00B65828" w:rsidRDefault="00B65828" w:rsidP="001E6829">
            <w:pPr>
              <w:keepNext/>
              <w:spacing w:before="120"/>
              <w:jc w:val="center"/>
            </w:pPr>
            <w:r>
              <w:t>Προθεσμία επίτευξης συμφωνίας (ημέρες)</w:t>
            </w:r>
          </w:p>
        </w:tc>
      </w:tr>
      <w:tr w:rsidR="00B65828" w14:paraId="7F9CBAFB" w14:textId="77777777" w:rsidTr="00A57F02">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5EF88896" w14:textId="77777777" w:rsidR="00B65828" w:rsidRPr="00E75DB3" w:rsidRDefault="00B65828" w:rsidP="001E6829">
            <w:pPr>
              <w:keepNext/>
              <w:spacing w:before="60" w:after="60"/>
              <w:jc w:val="left"/>
              <w:rPr>
                <w:b/>
              </w:rPr>
            </w:pPr>
            <w:r>
              <w:rPr>
                <w:b/>
              </w:rPr>
              <w:t>Υπαγωγή των εμπορευμάτων σε τελωνειακό καθεστώς και προσωρινή εναπόθεση</w:t>
            </w:r>
          </w:p>
        </w:tc>
      </w:tr>
      <w:tr w:rsidR="00B65828" w14:paraId="4210AD9C" w14:textId="77777777" w:rsidTr="00A57F02">
        <w:trPr>
          <w:jc w:val="center"/>
        </w:trPr>
        <w:tc>
          <w:tcPr>
            <w:tcW w:w="5561" w:type="dxa"/>
          </w:tcPr>
          <w:p w14:paraId="3ABE1CE1" w14:textId="77777777" w:rsidR="00B65828" w:rsidRPr="00E75DB3" w:rsidRDefault="00B65828" w:rsidP="001E6829">
            <w:pPr>
              <w:keepNext/>
              <w:spacing w:before="60" w:after="60"/>
              <w:jc w:val="left"/>
            </w:pPr>
            <w:r>
              <w:t xml:space="preserve">        Άδεια για κεντρικό τελωνισμό</w:t>
            </w:r>
          </w:p>
        </w:tc>
        <w:tc>
          <w:tcPr>
            <w:tcW w:w="3008" w:type="dxa"/>
          </w:tcPr>
          <w:p w14:paraId="2A66BA95" w14:textId="2009CBCB" w:rsidR="00B65828" w:rsidRDefault="00B65828" w:rsidP="001E6829">
            <w:pPr>
              <w:keepNext/>
              <w:spacing w:before="60" w:after="60"/>
              <w:jc w:val="center"/>
            </w:pPr>
            <w:r>
              <w:t>90</w:t>
            </w:r>
          </w:p>
        </w:tc>
      </w:tr>
      <w:tr w:rsidR="00B65828" w14:paraId="67D9F9C4" w14:textId="77777777" w:rsidTr="00A57F02">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14E11E74" w14:textId="77777777" w:rsidR="00B65828" w:rsidRPr="00E75DB3" w:rsidRDefault="00B65828" w:rsidP="001E6829">
            <w:pPr>
              <w:keepNext/>
              <w:spacing w:before="60" w:after="60"/>
              <w:jc w:val="left"/>
            </w:pPr>
            <w:r>
              <w:t xml:space="preserve">        Όλες οι λοιπές άδειες</w:t>
            </w:r>
          </w:p>
        </w:tc>
        <w:tc>
          <w:tcPr>
            <w:tcW w:w="3008" w:type="dxa"/>
          </w:tcPr>
          <w:p w14:paraId="1B5A0762" w14:textId="38EE969C" w:rsidR="00B65828" w:rsidRDefault="00B65828" w:rsidP="001E6829">
            <w:pPr>
              <w:keepNext/>
              <w:spacing w:before="60" w:after="60"/>
              <w:jc w:val="center"/>
            </w:pPr>
            <w:r>
              <w:t>60</w:t>
            </w:r>
          </w:p>
        </w:tc>
      </w:tr>
      <w:tr w:rsidR="00B65828" w14:paraId="4C6B619F" w14:textId="77777777" w:rsidTr="00A57F02">
        <w:trPr>
          <w:jc w:val="center"/>
        </w:trPr>
        <w:tc>
          <w:tcPr>
            <w:tcW w:w="5561" w:type="dxa"/>
            <w:vAlign w:val="center"/>
          </w:tcPr>
          <w:p w14:paraId="304FB2C4" w14:textId="77777777" w:rsidR="00B65828" w:rsidRPr="00E75DB3" w:rsidRDefault="00B65828" w:rsidP="001E6829">
            <w:pPr>
              <w:keepNext/>
              <w:spacing w:before="60" w:after="60"/>
              <w:jc w:val="left"/>
              <w:rPr>
                <w:b/>
              </w:rPr>
            </w:pPr>
            <w:r>
              <w:rPr>
                <w:b/>
              </w:rPr>
              <w:t>Ειδικά καθεστώτα</w:t>
            </w:r>
          </w:p>
        </w:tc>
        <w:tc>
          <w:tcPr>
            <w:tcW w:w="3008" w:type="dxa"/>
          </w:tcPr>
          <w:p w14:paraId="7C89C584" w14:textId="77777777" w:rsidR="00B65828" w:rsidRPr="00E75DB3" w:rsidRDefault="00B65828" w:rsidP="001E6829">
            <w:pPr>
              <w:keepNext/>
              <w:spacing w:before="60" w:after="60"/>
              <w:jc w:val="center"/>
              <w:rPr>
                <w:b/>
              </w:rPr>
            </w:pPr>
          </w:p>
        </w:tc>
      </w:tr>
      <w:tr w:rsidR="00B65828" w14:paraId="0294A04C" w14:textId="77777777" w:rsidTr="00A57F02">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4E8CF697" w14:textId="77777777" w:rsidR="00B65828" w:rsidRPr="00E75DB3" w:rsidRDefault="00B65828" w:rsidP="001E6829">
            <w:pPr>
              <w:keepNext/>
              <w:spacing w:before="60" w:after="60"/>
              <w:jc w:val="left"/>
            </w:pPr>
            <w:r>
              <w:t xml:space="preserve">        Όλες οι άδειες</w:t>
            </w:r>
          </w:p>
        </w:tc>
        <w:tc>
          <w:tcPr>
            <w:tcW w:w="3008" w:type="dxa"/>
          </w:tcPr>
          <w:p w14:paraId="10DCD2EE" w14:textId="1B309D2B" w:rsidR="00B65828" w:rsidRDefault="00B65828" w:rsidP="0068257C">
            <w:pPr>
              <w:keepNext/>
              <w:spacing w:before="60" w:after="60"/>
              <w:jc w:val="center"/>
            </w:pPr>
            <w:r>
              <w:t>60</w:t>
            </w:r>
          </w:p>
        </w:tc>
      </w:tr>
    </w:tbl>
    <w:p w14:paraId="39F02737" w14:textId="4A6E0B42" w:rsidR="00B65828" w:rsidRDefault="00B65828" w:rsidP="00B65828">
      <w:pPr>
        <w:pStyle w:val="Caption"/>
      </w:pPr>
      <w:bookmarkStart w:id="3" w:name="_Ref475536054"/>
      <w:r>
        <w:t>Πίνακας </w:t>
      </w:r>
      <w:fldSimple w:instr=" SEQ Table \* ARABIC ">
        <w:r>
          <w:rPr>
            <w:noProof/>
          </w:rPr>
          <w:t>2</w:t>
        </w:r>
      </w:fldSimple>
      <w:bookmarkEnd w:id="3"/>
      <w:r>
        <w:t xml:space="preserve"> Προθεσμία επίτευξης συμφωνίας </w:t>
      </w:r>
    </w:p>
    <w:p w14:paraId="73C4F4D9" w14:textId="77777777" w:rsidR="00315472" w:rsidRDefault="00315472" w:rsidP="00315472"/>
    <w:p w14:paraId="65F22F1A" w14:textId="16D6134F" w:rsidR="00315472" w:rsidRPr="00315472" w:rsidRDefault="00253422" w:rsidP="00315472">
      <w:r>
        <w:rPr>
          <w:noProof/>
          <w:lang w:val="en-GB" w:eastAsia="en-GB" w:bidi="ar-SA"/>
        </w:rPr>
        <mc:AlternateContent>
          <mc:Choice Requires="wps">
            <w:drawing>
              <wp:anchor distT="107950" distB="107950" distL="215900" distR="114300" simplePos="0" relativeHeight="251659264" behindDoc="0" locked="0" layoutInCell="1" allowOverlap="1" wp14:anchorId="15BF7744" wp14:editId="1049CE5C">
                <wp:simplePos x="0" y="0"/>
                <wp:positionH relativeFrom="column">
                  <wp:posOffset>2696845</wp:posOffset>
                </wp:positionH>
                <wp:positionV relativeFrom="paragraph">
                  <wp:posOffset>19050</wp:posOffset>
                </wp:positionV>
                <wp:extent cx="3009900" cy="793115"/>
                <wp:effectExtent l="19050" t="19050" r="19050" b="26035"/>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93115"/>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4464DF5" w14:textId="012734E1" w:rsidR="00315472" w:rsidRPr="006602E5" w:rsidRDefault="00315472" w:rsidP="00315472">
                            <w:pPr>
                              <w:rPr>
                                <w:color w:val="FFFFFF" w:themeColor="background1"/>
                                <w:sz w:val="18"/>
                              </w:rPr>
                            </w:pPr>
                            <w:r>
                              <w:rPr>
                                <w:noProof/>
                                <w:color w:val="FFFFFF" w:themeColor="background1"/>
                                <w:sz w:val="18"/>
                                <w:lang w:val="en-GB" w:eastAsia="en-GB" w:bidi="ar-SA"/>
                              </w:rPr>
                              <w:drawing>
                                <wp:inline distT="0" distB="0" distL="0" distR="0" wp14:anchorId="7060F999" wp14:editId="5354555F">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Όλες οι προθεσμίες που αναφέρονται στο παρόν έγγραφο είναι σταθερές και δεν υπάρχει δυνατότητά παράτασής τους.</w:t>
                            </w:r>
                          </w:p>
                          <w:p w14:paraId="582998D4" w14:textId="77777777" w:rsidR="00315472" w:rsidRPr="006602E5" w:rsidRDefault="00315472" w:rsidP="00315472">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15BF7744" id="_x0000_s1028" style="position:absolute;left:0;text-align:left;margin-left:212.35pt;margin-top:1.5pt;width:237pt;height:62.45pt;z-index:251659264;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" fillcolor="#002060" strokecolor="#d9e2f3 [664]" strokeweight="2.25pt">
                <v:stroke joinstyle="miter"/>
                <v:textbox inset="2.5mm,0,,0">
                  <w:txbxContent>
                    <w:p w14:paraId="44464DF5" w14:textId="012734E1" w:rsidR="00315472" w:rsidRPr="006602E5" w:rsidRDefault="00315472" w:rsidP="00315472">
                      <w:pPr>
                        <w:rPr>
                          <w:color w:val="FFFFFF" w:themeColor="background1"/>
                          <w:sz w:val="18"/>
                        </w:rPr>
                      </w:pPr>
                      <w:r>
                        <w:rPr>
                          <w:noProof/>
                          <w:color w:val="FFFFFF" w:themeColor="background1"/>
                          <w:sz w:val="18"/>
                        </w:rPr>
                        <w:drawing>
                          <wp:inline xmlns:wp14="http://schemas.microsoft.com/office/word/2010/wordprocessingDrawing" xmlns:wp="http://schemas.openxmlformats.org/drawingml/2006/wordprocessingDrawing" distT="0" distB="0" distL="0" distR="0" wp14:anchorId="7060F999" wp14:editId="5354555F">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Όλες οι προθεσμίες που αναφέρονται στο παρόν έγγραφο είναι σταθερές και δεν υπάρχει δυνατότητά παράτασής τους.</w:t>
                      </w:r>
                    </w:p>
                    <w:p w14:paraId="582998D4" w14:textId="77777777" w:rsidR="00315472" w:rsidRPr="006602E5" w:rsidRDefault="00315472" w:rsidP="00315472">
                      <w:pPr>
                        <w:rPr>
                          <w:sz w:val="18"/>
                        </w:rPr>
                      </w:pPr>
                    </w:p>
                  </w:txbxContent>
                </v:textbox>
                <w10:wrap xmlns:w10="urn:schemas-microsoft-com:office:word" type="square"/>
              </v:roundrect>
            </w:pict>
          </mc:Fallback>
        </mc:AlternateContent>
      </w:r>
      <w:r>
        <w:t>Όταν ο τελωνειακός υπάλληλος του κράτους μέλους του οποίου</w:t>
      </w:r>
      <w:bookmarkStart w:id="4" w:name="_GoBack"/>
      <w:bookmarkEnd w:id="4"/>
      <w:r>
        <w:t xml:space="preserve"> ζητείται η γνώμη εκφράζει αντιρρήσεις και δεν επιτευχθεί συμφωνία εντός της σχετικής προθεσμίας που απεικονίζεται στον </w:t>
      </w:r>
      <w:r>
        <w:fldChar w:fldCharType="begin"/>
      </w:r>
      <w:r>
        <w:instrText xml:space="preserve"> REF _Ref475536054 \h </w:instrText>
      </w:r>
      <w:r>
        <w:fldChar w:fldCharType="separate"/>
      </w:r>
      <w:r w:rsidR="008358F0">
        <w:t>Πίνακα</w:t>
      </w:r>
      <w:r>
        <w:t xml:space="preserve"> </w:t>
      </w:r>
      <w:r>
        <w:rPr>
          <w:noProof/>
        </w:rPr>
        <w:t>2</w:t>
      </w:r>
      <w:r>
        <w:fldChar w:fldCharType="end"/>
      </w:r>
      <w:r>
        <w:t>, η άδεια χορηγείται για το μέρος για το οποίο δεν έχουν διατυπωθεί αντιρρήσεις.</w:t>
      </w:r>
    </w:p>
    <w:p w14:paraId="52F572B4" w14:textId="060391F8" w:rsidR="00315472" w:rsidRDefault="00315472" w:rsidP="00315472"/>
    <w:p w14:paraId="2D3E4121" w14:textId="52F3E1A0" w:rsidR="00315472" w:rsidRPr="00315472" w:rsidRDefault="00315472" w:rsidP="00315472"/>
    <w:sectPr w:rsidR="00315472" w:rsidRPr="00315472" w:rsidSect="0056695E">
      <w:headerReference w:type="default" r:id="rId22"/>
      <w:footerReference w:type="default" r:id="rId23"/>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7C7EA1" w:rsidRDefault="007C7EA1">
      <w:r>
        <w:separator/>
      </w:r>
    </w:p>
  </w:endnote>
  <w:endnote w:type="continuationSeparator" w:id="0">
    <w:p w14:paraId="2C4045C7" w14:textId="77777777" w:rsidR="007C7EA1" w:rsidRDefault="007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7D81E66D" w14:textId="0B6739F0" w:rsidR="007C7EA1" w:rsidRDefault="007C7EA1" w:rsidP="008A5403">
        <w:pPr>
          <w:pStyle w:val="Footer"/>
          <w:jc w:val="center"/>
        </w:pPr>
        <w:r>
          <w:fldChar w:fldCharType="begin"/>
        </w:r>
        <w:r>
          <w:instrText xml:space="preserve"> PAGE   \* MERGEFORMAT </w:instrText>
        </w:r>
        <w:r>
          <w:fldChar w:fldCharType="separate"/>
        </w:r>
        <w:r w:rsidR="008358F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7C7EA1" w:rsidRDefault="007C7EA1">
      <w:r>
        <w:separator/>
      </w:r>
    </w:p>
  </w:footnote>
  <w:footnote w:type="continuationSeparator" w:id="0">
    <w:p w14:paraId="64D1458D" w14:textId="77777777" w:rsidR="007C7EA1" w:rsidRDefault="007C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7C7EA1" w:rsidRPr="00D6659F" w:rsidRDefault="007C7EA1" w:rsidP="009A5DA5">
    <w:pPr>
      <w:pStyle w:val="Header"/>
    </w:pPr>
  </w:p>
  <w:p w14:paraId="1317932C" w14:textId="77777777" w:rsidR="007C7EA1" w:rsidRPr="008C7CBE" w:rsidRDefault="007C7EA1" w:rsidP="009A5DA5">
    <w:pPr>
      <w:pStyle w:val="Header"/>
    </w:pPr>
  </w:p>
  <w:p w14:paraId="0A75C38C" w14:textId="77777777" w:rsidR="007C7EA1" w:rsidRPr="009A5DA5" w:rsidRDefault="007C7EA1" w:rsidP="009A5DA5">
    <w:pPr>
      <w:pStyle w:val="Header"/>
    </w:pPr>
  </w:p>
  <w:p w14:paraId="62DB8D0D" w14:textId="77777777" w:rsidR="007C7EA1" w:rsidRDefault="007C7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DDD497EA"/>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721C6C"/>
    <w:multiLevelType w:val="hybridMultilevel"/>
    <w:tmpl w:val="4E6CDDC2"/>
    <w:lvl w:ilvl="0" w:tplc="E3C0C3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52D95"/>
    <w:multiLevelType w:val="hybridMultilevel"/>
    <w:tmpl w:val="EFECDA22"/>
    <w:lvl w:ilvl="0" w:tplc="FC76031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3">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8">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5">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9"/>
  </w:num>
  <w:num w:numId="6">
    <w:abstractNumId w:val="1"/>
  </w:num>
  <w:num w:numId="7">
    <w:abstractNumId w:val="3"/>
  </w:num>
  <w:num w:numId="8">
    <w:abstractNumId w:val="39"/>
  </w:num>
  <w:num w:numId="9">
    <w:abstractNumId w:val="32"/>
  </w:num>
  <w:num w:numId="10">
    <w:abstractNumId w:val="30"/>
  </w:num>
  <w:num w:numId="11">
    <w:abstractNumId w:val="23"/>
  </w:num>
  <w:num w:numId="12">
    <w:abstractNumId w:val="36"/>
  </w:num>
  <w:num w:numId="13">
    <w:abstractNumId w:val="20"/>
  </w:num>
  <w:num w:numId="14">
    <w:abstractNumId w:val="13"/>
  </w:num>
  <w:num w:numId="15">
    <w:abstractNumId w:val="18"/>
  </w:num>
  <w:num w:numId="16">
    <w:abstractNumId w:val="5"/>
  </w:num>
  <w:num w:numId="17">
    <w:abstractNumId w:val="14"/>
  </w:num>
  <w:num w:numId="18">
    <w:abstractNumId w:val="27"/>
  </w:num>
  <w:num w:numId="19">
    <w:abstractNumId w:val="43"/>
  </w:num>
  <w:num w:numId="20">
    <w:abstractNumId w:val="15"/>
  </w:num>
  <w:num w:numId="21">
    <w:abstractNumId w:val="38"/>
  </w:num>
  <w:num w:numId="22">
    <w:abstractNumId w:val="26"/>
  </w:num>
  <w:num w:numId="23">
    <w:abstractNumId w:val="35"/>
  </w:num>
  <w:num w:numId="24">
    <w:abstractNumId w:val="28"/>
  </w:num>
  <w:num w:numId="25">
    <w:abstractNumId w:val="33"/>
  </w:num>
  <w:num w:numId="26">
    <w:abstractNumId w:val="40"/>
  </w:num>
  <w:num w:numId="27">
    <w:abstractNumId w:val="31"/>
  </w:num>
  <w:num w:numId="28">
    <w:abstractNumId w:val="7"/>
  </w:num>
  <w:num w:numId="29">
    <w:abstractNumId w:val="12"/>
  </w:num>
  <w:num w:numId="30">
    <w:abstractNumId w:val="34"/>
  </w:num>
  <w:num w:numId="31">
    <w:abstractNumId w:val="41"/>
  </w:num>
  <w:num w:numId="32">
    <w:abstractNumId w:val="42"/>
  </w:num>
  <w:num w:numId="33">
    <w:abstractNumId w:val="17"/>
  </w:num>
  <w:num w:numId="34">
    <w:abstractNumId w:val="22"/>
  </w:num>
  <w:num w:numId="35">
    <w:abstractNumId w:val="24"/>
  </w:num>
  <w:num w:numId="36">
    <w:abstractNumId w:val="25"/>
  </w:num>
  <w:num w:numId="37">
    <w:abstractNumId w:val="11"/>
  </w:num>
  <w:num w:numId="38">
    <w:abstractNumId w:val="9"/>
  </w:num>
  <w:num w:numId="39">
    <w:abstractNumId w:val="29"/>
  </w:num>
  <w:num w:numId="40">
    <w:abstractNumId w:val="37"/>
  </w:num>
  <w:num w:numId="41">
    <w:abstractNumId w:val="6"/>
  </w:num>
  <w:num w:numId="42">
    <w:abstractNumId w:val="8"/>
  </w:num>
  <w:num w:numId="43">
    <w:abstractNumId w:val="16"/>
  </w:num>
  <w:num w:numId="44">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7105">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6FF3"/>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6FDD"/>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45"/>
    <w:rsid w:val="00144BDA"/>
    <w:rsid w:val="00144D74"/>
    <w:rsid w:val="0014502E"/>
    <w:rsid w:val="001453DC"/>
    <w:rsid w:val="0014558F"/>
    <w:rsid w:val="00145BB1"/>
    <w:rsid w:val="00145CE8"/>
    <w:rsid w:val="00145E27"/>
    <w:rsid w:val="001465B1"/>
    <w:rsid w:val="001467C7"/>
    <w:rsid w:val="00146BD7"/>
    <w:rsid w:val="00147078"/>
    <w:rsid w:val="00147226"/>
    <w:rsid w:val="00147717"/>
    <w:rsid w:val="00147D91"/>
    <w:rsid w:val="0015018C"/>
    <w:rsid w:val="001503C0"/>
    <w:rsid w:val="00150FC9"/>
    <w:rsid w:val="00151176"/>
    <w:rsid w:val="00151343"/>
    <w:rsid w:val="001514D2"/>
    <w:rsid w:val="001518F2"/>
    <w:rsid w:val="00151C20"/>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0D"/>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5996"/>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829"/>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422"/>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4E4"/>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472"/>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2745F"/>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564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5CB"/>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2BCD"/>
    <w:rsid w:val="00413540"/>
    <w:rsid w:val="00413A71"/>
    <w:rsid w:val="00413F2F"/>
    <w:rsid w:val="004141D6"/>
    <w:rsid w:val="0041423D"/>
    <w:rsid w:val="004145E7"/>
    <w:rsid w:val="0041498D"/>
    <w:rsid w:val="00414FC6"/>
    <w:rsid w:val="00415660"/>
    <w:rsid w:val="00415797"/>
    <w:rsid w:val="00415ADB"/>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C0F"/>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8C3"/>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582"/>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3C3"/>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EDB"/>
    <w:rsid w:val="00541F86"/>
    <w:rsid w:val="00542049"/>
    <w:rsid w:val="00542110"/>
    <w:rsid w:val="0054217D"/>
    <w:rsid w:val="00542214"/>
    <w:rsid w:val="0054271C"/>
    <w:rsid w:val="00543549"/>
    <w:rsid w:val="00543598"/>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1CD4"/>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2CF"/>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072"/>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163"/>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57C"/>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AD1"/>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199A"/>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E36"/>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5E04"/>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C7EA1"/>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5C"/>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8F0"/>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1FAD"/>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1DF"/>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5DD"/>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403"/>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A1F"/>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A6F"/>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203"/>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3E76"/>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4D3A"/>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57E8A"/>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0E"/>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07AC"/>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828"/>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73"/>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8F2"/>
    <w:rsid w:val="00C02EFE"/>
    <w:rsid w:val="00C03950"/>
    <w:rsid w:val="00C03961"/>
    <w:rsid w:val="00C03E31"/>
    <w:rsid w:val="00C03EC7"/>
    <w:rsid w:val="00C04803"/>
    <w:rsid w:val="00C05112"/>
    <w:rsid w:val="00C05604"/>
    <w:rsid w:val="00C05BDC"/>
    <w:rsid w:val="00C05DE3"/>
    <w:rsid w:val="00C06519"/>
    <w:rsid w:val="00C066F0"/>
    <w:rsid w:val="00C0735B"/>
    <w:rsid w:val="00C10850"/>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5C6"/>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E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650"/>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3D2"/>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686"/>
    <w:rsid w:val="00D427E9"/>
    <w:rsid w:val="00D42A3B"/>
    <w:rsid w:val="00D448EC"/>
    <w:rsid w:val="00D44946"/>
    <w:rsid w:val="00D45297"/>
    <w:rsid w:val="00D456B1"/>
    <w:rsid w:val="00D461E4"/>
    <w:rsid w:val="00D464C3"/>
    <w:rsid w:val="00D4666E"/>
    <w:rsid w:val="00D46A34"/>
    <w:rsid w:val="00D46BDF"/>
    <w:rsid w:val="00D470B5"/>
    <w:rsid w:val="00D47335"/>
    <w:rsid w:val="00D4770C"/>
    <w:rsid w:val="00D47859"/>
    <w:rsid w:val="00D478BF"/>
    <w:rsid w:val="00D47A88"/>
    <w:rsid w:val="00D47B7C"/>
    <w:rsid w:val="00D47FE7"/>
    <w:rsid w:val="00D501DF"/>
    <w:rsid w:val="00D5034E"/>
    <w:rsid w:val="00D51057"/>
    <w:rsid w:val="00D5149D"/>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5789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1BFC"/>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1F3"/>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04"/>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C61"/>
    <w:rsid w:val="00E41D3F"/>
    <w:rsid w:val="00E41ED1"/>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C3B"/>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72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3AA"/>
    <w:rsid w:val="00EE09A7"/>
    <w:rsid w:val="00EE0F4A"/>
    <w:rsid w:val="00EE1B70"/>
    <w:rsid w:val="00EE212F"/>
    <w:rsid w:val="00EE214C"/>
    <w:rsid w:val="00EE2416"/>
    <w:rsid w:val="00EE257D"/>
    <w:rsid w:val="00EE28B3"/>
    <w:rsid w:val="00EE2F15"/>
    <w:rsid w:val="00EE35D0"/>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7DF"/>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73B"/>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B5E"/>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96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79"/>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719"/>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D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A5403"/>
    <w:rPr>
      <w:rFonts w:ascii="Arial" w:hAnsi="Arial"/>
      <w:sz w:val="18"/>
      <w:szCs w:val="24"/>
      <w:lang w:eastAsia="el-GR"/>
    </w:rPr>
  </w:style>
  <w:style w:type="table" w:customStyle="1" w:styleId="GridTable5Dark-Accent41">
    <w:name w:val="Grid Table 5 Dark - Accent 41"/>
    <w:basedOn w:val="TableNormal"/>
    <w:uiPriority w:val="50"/>
    <w:rsid w:val="00667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A5403"/>
    <w:rPr>
      <w:rFonts w:ascii="Arial" w:hAnsi="Arial"/>
      <w:sz w:val="18"/>
      <w:szCs w:val="24"/>
      <w:lang w:eastAsia="el-GR"/>
    </w:rPr>
  </w:style>
  <w:style w:type="table" w:customStyle="1" w:styleId="GridTable5Dark-Accent41">
    <w:name w:val="Grid Table 5 Dark - Accent 41"/>
    <w:basedOn w:val="TableNormal"/>
    <w:uiPriority w:val="50"/>
    <w:rsid w:val="00667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99">
      <w:bodyDiv w:val="1"/>
      <w:marLeft w:val="0"/>
      <w:marRight w:val="0"/>
      <w:marTop w:val="0"/>
      <w:marBottom w:val="0"/>
      <w:divBdr>
        <w:top w:val="none" w:sz="0" w:space="0" w:color="auto"/>
        <w:left w:val="none" w:sz="0" w:space="0" w:color="auto"/>
        <w:bottom w:val="none" w:sz="0" w:space="0" w:color="auto"/>
        <w:right w:val="none" w:sz="0" w:space="0" w:color="auto"/>
      </w:divBdr>
    </w:div>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11304735">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2.xml><?xml version="1.0" encoding="utf-8"?>
<ds:datastoreItem xmlns:ds="http://schemas.openxmlformats.org/officeDocument/2006/customXml" ds:itemID="{CD232B99-093C-429C-9016-ABE0F8F4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4.xml><?xml version="1.0" encoding="utf-8"?>
<ds:datastoreItem xmlns:ds="http://schemas.openxmlformats.org/officeDocument/2006/customXml" ds:itemID="{A9E51E50-5D37-490C-B634-D0D0CCEC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7852</TotalTime>
  <Pages>4</Pages>
  <Words>850</Words>
  <Characters>5364</Characters>
  <Application>Microsoft Office Word</Application>
  <DocSecurity>0</DocSecurity>
  <Lines>124</Lines>
  <Paragraphs>67</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6147</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44</cp:revision>
  <cp:lastPrinted>2010-08-20T08:44:00Z</cp:lastPrinted>
  <dcterms:created xsi:type="dcterms:W3CDTF">2016-12-21T09:26:00Z</dcterms:created>
  <dcterms:modified xsi:type="dcterms:W3CDTF">2019-02-07T13:42:00Z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