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7FCBF0D" w:rsidR="005A195B" w:rsidRPr="00BD3D07" w:rsidRDefault="00791800" w:rsidP="00FD3FDE">
      <w:pPr>
        <w:pStyle w:val="Heading1"/>
        <w:rPr>
          <w:rFonts w:eastAsia="PMingLiU"/>
        </w:rPr>
      </w:pPr>
      <w:r>
        <w:t>Παράταση προθεσμίας κατά τη λήψη απόφασης</w:t>
      </w:r>
    </w:p>
    <w:p w14:paraId="4025E16E" w14:textId="38196856" w:rsidR="00C336F7" w:rsidRPr="00BD3D07" w:rsidRDefault="00E16C85" w:rsidP="00FD3FDE">
      <w:pPr>
        <w:pStyle w:val="Heading2"/>
        <w:rPr>
          <w:rFonts w:eastAsia="PMingLiU"/>
        </w:rPr>
      </w:pPr>
      <w:r>
        <w:t>Ενδιαφερόμενοι φορείς που εμπλέκονται στη διαδικασία</w:t>
      </w:r>
    </w:p>
    <w:p w14:paraId="08461B45" w14:textId="04DEA52F" w:rsidR="00C336F7" w:rsidRDefault="00C336F7" w:rsidP="00BD3D07">
      <w:pPr>
        <w:pStyle w:val="ListParagraph"/>
        <w:numPr>
          <w:ilvl w:val="0"/>
          <w:numId w:val="42"/>
        </w:numPr>
        <w:ind w:left="568" w:hanging="284"/>
        <w:contextualSpacing w:val="0"/>
      </w:pPr>
      <w:r>
        <w:t>Συναλλασσόμενος·</w:t>
      </w:r>
    </w:p>
    <w:p w14:paraId="0490E589" w14:textId="2D799EFF" w:rsidR="00C336F7" w:rsidRDefault="00C336F7" w:rsidP="00BD3D07">
      <w:pPr>
        <w:pStyle w:val="ListParagraph"/>
        <w:numPr>
          <w:ilvl w:val="0"/>
          <w:numId w:val="42"/>
        </w:numPr>
        <w:ind w:left="568" w:hanging="284"/>
        <w:contextualSpacing w:val="0"/>
      </w:pPr>
      <w:r>
        <w:t>Αρμόδια για τη λήψη απόφασης τελωνειακή αρχή.</w:t>
      </w:r>
    </w:p>
    <w:p w14:paraId="4DE22884" w14:textId="77777777" w:rsidR="00C336F7" w:rsidRPr="00BD3D07" w:rsidRDefault="00C336F7" w:rsidP="00FD3FDE">
      <w:pPr>
        <w:pStyle w:val="Heading2"/>
        <w:rPr>
          <w:rFonts w:eastAsia="PMingLiU"/>
        </w:rPr>
      </w:pPr>
      <w:r>
        <w:t>Ροή εργασιών</w:t>
      </w:r>
    </w:p>
    <w:p w14:paraId="783933C1" w14:textId="3224A5A6" w:rsidR="00C336F7" w:rsidRDefault="00C336F7" w:rsidP="00C336F7">
      <w:r>
        <w:t>Η διαδικασία παράτασης προθεσμίας αποτελεί μέρος της διαδικασίας λήψης απόφασης. Στο Σχήμα 1 απεικονίζεται η υψηλού επιπέδου επισκόπηση της διαδικασίας λήψης απόφασης. Η διαδικασία παράτασης προθεσμίας αποτελεί μία από τις «Επικουρικές δραστηριότητες».</w:t>
      </w:r>
    </w:p>
    <w:p w14:paraId="45837138" w14:textId="77777777" w:rsidR="00C336F7" w:rsidRDefault="00C336F7" w:rsidP="00C336F7"/>
    <w:bookmarkStart w:id="0" w:name="_Hlk484172212"/>
    <w:bookmarkStart w:id="1" w:name="_Ref475015953"/>
    <w:p w14:paraId="7538BFD9" w14:textId="77777777" w:rsidR="00956397" w:rsidRDefault="00FD3FDE" w:rsidP="00C336F7">
      <w:pPr>
        <w:pStyle w:val="Caption"/>
        <w:rPr>
          <w:sz w:val="20"/>
          <w:szCs w:val="24"/>
        </w:rPr>
      </w:pPr>
      <w:r>
        <w:rPr>
          <w:sz w:val="20"/>
          <w:szCs w:val="24"/>
        </w:rPr>
        <w:object w:dxaOrig="8475" w:dyaOrig="3960" w14:anchorId="24813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2" o:title=""/>
          </v:shape>
          <o:OLEObject Type="Embed" ProgID="Visio.Drawing.11" ShapeID="_x0000_i1025" DrawAspect="Content" ObjectID="_1611055655" r:id="rId13"/>
        </w:object>
      </w:r>
      <w:bookmarkEnd w:id="0"/>
    </w:p>
    <w:p w14:paraId="04EB2F68" w14:textId="02D14960" w:rsidR="00C336F7" w:rsidRDefault="00C336F7" w:rsidP="00C336F7">
      <w:pPr>
        <w:pStyle w:val="Caption"/>
      </w:pPr>
      <w:r>
        <w:t>Σχήμα </w:t>
      </w:r>
      <w:r w:rsidR="00250AAC">
        <w:fldChar w:fldCharType="begin"/>
      </w:r>
      <w:r w:rsidR="00250AAC">
        <w:instrText xml:space="preserve"> SEQ Figure \* ARABIC </w:instrText>
      </w:r>
      <w:r w:rsidR="00250AAC">
        <w:fldChar w:fldCharType="separate"/>
      </w:r>
      <w:r>
        <w:rPr>
          <w:noProof/>
        </w:rPr>
        <w:t>1</w:t>
      </w:r>
      <w:r w:rsidR="00250AAC">
        <w:rPr>
          <w:noProof/>
        </w:rPr>
        <w:fldChar w:fldCharType="end"/>
      </w:r>
      <w:bookmarkEnd w:id="1"/>
      <w:r>
        <w:t xml:space="preserve"> – Υψηλού επιπέδου επισκόπηση της διαδικασίας λήψης απόφασης</w:t>
      </w:r>
    </w:p>
    <w:p w14:paraId="21B3E7CD" w14:textId="77777777" w:rsidR="00DA38BA" w:rsidRDefault="00DA38BA" w:rsidP="00DA38BA"/>
    <w:p w14:paraId="535F9A52" w14:textId="118567DC" w:rsidR="00956476" w:rsidRDefault="00956476" w:rsidP="00DA38BA">
      <w:r>
        <w:t xml:space="preserve">Κατά τη διαδικασία λήψης απόφασης, ο τελωνειακός υπάλληλος μπορεί να ζητήσει παράταση της προθεσμίας όταν δεν είναι σε θέση να λάβει την απόφαση εντός της προθεσμίας των 30 έως 120 ημερολογιακών ημερών (όπως παρουσιάζεται στην ενότητα που αναφέρεται στη διαδικασία «Λήψη απόφασης»), που προβλέπεται για τη διαδικασία λήψης απόφασης. </w:t>
      </w:r>
    </w:p>
    <w:p w14:paraId="48D0787C" w14:textId="45DD8884" w:rsidR="00956476" w:rsidRDefault="00FC621E" w:rsidP="00DA38BA">
      <w:r>
        <w:t xml:space="preserve">Στο </w:t>
      </w:r>
      <w:r>
        <w:fldChar w:fldCharType="begin"/>
      </w:r>
      <w:r>
        <w:instrText xml:space="preserve"> REF _Ref475372214 \h </w:instrText>
      </w:r>
      <w:r>
        <w:fldChar w:fldCharType="separate"/>
      </w:r>
      <w:r w:rsidR="00250AAC">
        <w:t>Σχήμα</w:t>
      </w:r>
      <w:r>
        <w:t xml:space="preserve"> </w:t>
      </w:r>
      <w:r>
        <w:rPr>
          <w:noProof/>
        </w:rPr>
        <w:t>2</w:t>
      </w:r>
      <w:r>
        <w:fldChar w:fldCharType="end"/>
      </w:r>
      <w:r>
        <w:t xml:space="preserve"> παρουσιάζεται η υψηλού επιπέδου επισκόπηση της διαδικασίας παράτασης προθεσμίας.</w:t>
      </w:r>
    </w:p>
    <w:p w14:paraId="00AB070A" w14:textId="77777777" w:rsidR="00956476" w:rsidRDefault="00956476" w:rsidP="00DA38BA"/>
    <w:p w14:paraId="50950ECB" w14:textId="234144E1" w:rsidR="00FC621E" w:rsidRDefault="00250AAC" w:rsidP="00FC621E">
      <w:pPr>
        <w:keepNext/>
        <w:jc w:val="center"/>
      </w:pPr>
      <w:r>
        <w:lastRenderedPageBreak/>
        <w:pict w14:anchorId="2932F72D">
          <v:shape id="_x0000_i1026" type="#_x0000_t75" style="width:430.4pt;height:177.7pt">
            <v:imagedata r:id="rId14" o:title=""/>
          </v:shape>
        </w:pict>
      </w:r>
    </w:p>
    <w:p w14:paraId="18D393C0" w14:textId="69516EEF" w:rsidR="00956476" w:rsidRDefault="00FC621E" w:rsidP="00FC621E">
      <w:pPr>
        <w:pStyle w:val="Caption"/>
      </w:pPr>
      <w:bookmarkStart w:id="2" w:name="_Ref475372214"/>
      <w:r>
        <w:t>Σχήμα </w:t>
      </w:r>
      <w:fldSimple w:instr=" SEQ Figure \* ARABIC ">
        <w:r>
          <w:rPr>
            <w:noProof/>
          </w:rPr>
          <w:t>2</w:t>
        </w:r>
      </w:fldSimple>
      <w:bookmarkEnd w:id="2"/>
      <w:r>
        <w:t xml:space="preserve"> – Υψηλού επιπέδου επισκόπηση της διαδικασίας παράτασης προθεσμίας</w:t>
      </w:r>
    </w:p>
    <w:p w14:paraId="47F297AD" w14:textId="77777777" w:rsidR="006A38D3" w:rsidRDefault="006A38D3" w:rsidP="006A38D3"/>
    <w:p w14:paraId="40B1AB5A" w14:textId="1ECC42AD" w:rsidR="006A38D3" w:rsidRDefault="00696973" w:rsidP="006A38D3">
      <w:r>
        <w:t>Όταν ο τελωνειακός υπάλληλος δεν είναι σε θέση να λάβει απόφαση εντός της κανονικής προθεσμίας των 30 έως 120 ημερολογιακών ημερών, μπορεί να υποβάλει αίτηση για παράταση της προθεσμίας για τη λήψη απόφασης. Είναι δυνατές οι ακόλουθες περιπτώσεις:</w:t>
      </w:r>
    </w:p>
    <w:p w14:paraId="10F0504F" w14:textId="147DD471" w:rsidR="00696973" w:rsidRDefault="00696973" w:rsidP="00BD3D07">
      <w:pPr>
        <w:pStyle w:val="ListParagraph"/>
        <w:numPr>
          <w:ilvl w:val="0"/>
          <w:numId w:val="43"/>
        </w:numPr>
        <w:ind w:left="568" w:hanging="284"/>
        <w:contextualSpacing w:val="0"/>
      </w:pPr>
      <w:r>
        <w:t>Ο τελωνειακός υπάλληλος ζητεί παράταση της προθεσμίας, εφόσον δεν είναι σε θέση να λάβει απόφαση εντός της κανονικής προθεσμίας λήψης απόφασης.</w:t>
      </w:r>
    </w:p>
    <w:p w14:paraId="45295414" w14:textId="412BD039" w:rsidR="007F4252" w:rsidRDefault="00E95604" w:rsidP="00BD3D07">
      <w:pPr>
        <w:pStyle w:val="ListParagraph"/>
        <w:numPr>
          <w:ilvl w:val="0"/>
          <w:numId w:val="43"/>
        </w:numPr>
        <w:ind w:left="568" w:hanging="284"/>
        <w:contextualSpacing w:val="0"/>
      </w:pPr>
      <w:r>
        <w:t xml:space="preserve">Όταν συντρέχουν σοβαροί λόγοι υπόνοιας παραβίασης της τελωνειακής νομοθεσίας και ο τελωνειακός υπάλληλος διενεργεί έρευνες σε σχέση με τον συναλλασσόμενο, ο τελωνειακός υπάλληλος μπορεί να ζητήσει παράταση της προθεσμίας για τις εν εξελίξει έρευνες. </w:t>
      </w:r>
    </w:p>
    <w:p w14:paraId="171ABAE8" w14:textId="00A8B260" w:rsidR="007F4252" w:rsidRDefault="00032685" w:rsidP="007F4252">
      <w:r>
        <w:t xml:space="preserve">Οι προθεσμίες για τις προαναφερθείσες περιπτώσεις διαφέρουν. Ο </w:t>
      </w:r>
      <w:r>
        <w:fldChar w:fldCharType="begin"/>
      </w:r>
      <w:r>
        <w:instrText xml:space="preserve"> REF _Ref475354124 \h </w:instrText>
      </w:r>
      <w:r>
        <w:fldChar w:fldCharType="separate"/>
      </w:r>
      <w:r w:rsidR="00250AAC">
        <w:t>Πίνακας</w:t>
      </w:r>
      <w:r>
        <w:t xml:space="preserve"> </w:t>
      </w:r>
      <w:r>
        <w:rPr>
          <w:noProof/>
        </w:rPr>
        <w:t>1</w:t>
      </w:r>
      <w:r>
        <w:fldChar w:fldCharType="end"/>
      </w:r>
      <w:r>
        <w:t xml:space="preserve"> παραθέτει τις μέγιστες προθεσμίες για διάφορα είδη παράτασης στο πλαίσιο της διαδικασίας λήψης απόφασης. </w:t>
      </w:r>
    </w:p>
    <w:tbl>
      <w:tblPr>
        <w:tblStyle w:val="GridTable5Dark-Accent41"/>
        <w:tblW w:w="0" w:type="auto"/>
        <w:jc w:val="center"/>
        <w:tblLook w:val="0420" w:firstRow="1" w:lastRow="0" w:firstColumn="0" w:lastColumn="0" w:noHBand="0" w:noVBand="1"/>
      </w:tblPr>
      <w:tblGrid>
        <w:gridCol w:w="7338"/>
        <w:gridCol w:w="1950"/>
      </w:tblGrid>
      <w:tr w:rsidR="00032685" w14:paraId="32703BC1" w14:textId="77777777" w:rsidTr="00822F10">
        <w:trPr>
          <w:cnfStyle w:val="100000000000" w:firstRow="1" w:lastRow="0" w:firstColumn="0" w:lastColumn="0" w:oddVBand="0" w:evenVBand="0" w:oddHBand="0" w:evenHBand="0" w:firstRowFirstColumn="0" w:firstRowLastColumn="0" w:lastRowFirstColumn="0" w:lastRowLastColumn="0"/>
          <w:jc w:val="center"/>
        </w:trPr>
        <w:tc>
          <w:tcPr>
            <w:tcW w:w="7338" w:type="dxa"/>
          </w:tcPr>
          <w:p w14:paraId="2443F461" w14:textId="5F39A31E" w:rsidR="00032685" w:rsidRDefault="00032685" w:rsidP="000E3457">
            <w:pPr>
              <w:spacing w:before="120" w:after="240"/>
              <w:jc w:val="left"/>
            </w:pPr>
            <w:r>
              <w:t xml:space="preserve">Είδος παράτασης </w:t>
            </w:r>
          </w:p>
        </w:tc>
        <w:tc>
          <w:tcPr>
            <w:tcW w:w="1950" w:type="dxa"/>
            <w:vAlign w:val="center"/>
          </w:tcPr>
          <w:p w14:paraId="5E02F4A5" w14:textId="53D914E0" w:rsidR="00032685" w:rsidRDefault="00032685" w:rsidP="00032685">
            <w:pPr>
              <w:jc w:val="center"/>
            </w:pPr>
            <w:r>
              <w:t xml:space="preserve">Προθεσμία </w:t>
            </w:r>
          </w:p>
        </w:tc>
      </w:tr>
      <w:tr w:rsidR="00032685" w14:paraId="27525334" w14:textId="77777777" w:rsidTr="00822F10">
        <w:trPr>
          <w:cnfStyle w:val="000000100000" w:firstRow="0" w:lastRow="0" w:firstColumn="0" w:lastColumn="0" w:oddVBand="0" w:evenVBand="0" w:oddHBand="1" w:evenHBand="0" w:firstRowFirstColumn="0" w:firstRowLastColumn="0" w:lastRowFirstColumn="0" w:lastRowLastColumn="0"/>
          <w:jc w:val="center"/>
        </w:trPr>
        <w:tc>
          <w:tcPr>
            <w:tcW w:w="7338" w:type="dxa"/>
          </w:tcPr>
          <w:p w14:paraId="06972D42" w14:textId="37A0CFBE" w:rsidR="00032685" w:rsidRDefault="00032685" w:rsidP="000C213D">
            <w:pPr>
              <w:spacing w:before="120"/>
              <w:jc w:val="left"/>
            </w:pPr>
            <w:r>
              <w:t>Η παράταση της προθεσμίας ζητείται από τον τελωνειακό υπάλληλο, ο οποίος δεν είναι σε θέση να λάβει απόφαση εντός της κανονικής προθεσμίας</w:t>
            </w:r>
          </w:p>
        </w:tc>
        <w:tc>
          <w:tcPr>
            <w:tcW w:w="1950" w:type="dxa"/>
            <w:vAlign w:val="center"/>
          </w:tcPr>
          <w:p w14:paraId="70AFE788" w14:textId="3DAAE90C" w:rsidR="00032685" w:rsidRDefault="000E3457" w:rsidP="000C213D">
            <w:pPr>
              <w:spacing w:before="120"/>
              <w:jc w:val="center"/>
            </w:pPr>
            <w:r>
              <w:t>30 ημέρες κατ’ ανώτατο όριο.</w:t>
            </w:r>
          </w:p>
        </w:tc>
      </w:tr>
      <w:tr w:rsidR="00A50813" w14:paraId="5F8E352E" w14:textId="77777777" w:rsidTr="00822F10">
        <w:trPr>
          <w:jc w:val="center"/>
        </w:trPr>
        <w:tc>
          <w:tcPr>
            <w:tcW w:w="7338" w:type="dxa"/>
          </w:tcPr>
          <w:p w14:paraId="0A1A09BA" w14:textId="55B89B24" w:rsidR="00A50813" w:rsidRDefault="00F2630A" w:rsidP="000C213D">
            <w:pPr>
              <w:spacing w:before="120"/>
              <w:jc w:val="left"/>
            </w:pPr>
            <w:r>
              <w:t>Η παράταση της προθεσμίας ζητείται από τον τελωνειακό υπάλληλο, ο οποίος διενεργεί έρευνες σε σχέση με τον συναλλασσόμενο</w:t>
            </w:r>
          </w:p>
        </w:tc>
        <w:tc>
          <w:tcPr>
            <w:tcW w:w="1950" w:type="dxa"/>
          </w:tcPr>
          <w:p w14:paraId="23F3EB14" w14:textId="7B3E1C62" w:rsidR="00A50813" w:rsidRDefault="00F2630A" w:rsidP="000C213D">
            <w:pPr>
              <w:keepNext/>
              <w:spacing w:before="120"/>
              <w:jc w:val="center"/>
            </w:pPr>
            <w:r>
              <w:t>9 μήνες κατ’ ανώτατο όριο.</w:t>
            </w:r>
          </w:p>
        </w:tc>
      </w:tr>
    </w:tbl>
    <w:p w14:paraId="237D982E" w14:textId="46DD5A45" w:rsidR="00032685" w:rsidRDefault="00A50813" w:rsidP="00A50813">
      <w:pPr>
        <w:pStyle w:val="Caption"/>
      </w:pPr>
      <w:bookmarkStart w:id="3" w:name="_Ref475354124"/>
      <w:r>
        <w:t xml:space="preserve">Πίνακας </w:t>
      </w:r>
      <w:fldSimple w:instr=" SEQ Table \* ARABIC ">
        <w:r>
          <w:rPr>
            <w:noProof/>
          </w:rPr>
          <w:t>1</w:t>
        </w:r>
      </w:fldSimple>
      <w:bookmarkEnd w:id="3"/>
      <w:r>
        <w:t xml:space="preserve"> Επισκόπηση των προθεσμιών για διάφορα είδη παράτασης στο πλαίσιο της διαδικασίας λήψης απόφασης</w:t>
      </w:r>
    </w:p>
    <w:p w14:paraId="549570E3" w14:textId="7631EFA9" w:rsidR="00A50813" w:rsidRDefault="00A50813" w:rsidP="00A50813"/>
    <w:p w14:paraId="02449A70" w14:textId="38D13E52" w:rsidR="00F2630A" w:rsidRDefault="009727AC" w:rsidP="00A50813">
      <w:r>
        <w:t xml:space="preserve">Η παράταση της προθεσμίας λήψης απόφασης μπορεί να ζητηθεί αρκετές φορές, αλλά η συνολική προθεσμία δεν μπορεί να υπερβαίνει τις τιμές που ορίζονται στον </w:t>
      </w:r>
      <w:r>
        <w:fldChar w:fldCharType="begin"/>
      </w:r>
      <w:r>
        <w:instrText xml:space="preserve"> REF _Ref475354124 \h </w:instrText>
      </w:r>
      <w:r>
        <w:fldChar w:fldCharType="separate"/>
      </w:r>
      <w:r w:rsidR="00250AAC">
        <w:t>Πίνακα</w:t>
      </w:r>
      <w:r>
        <w:t xml:space="preserve"> </w:t>
      </w:r>
      <w:r>
        <w:rPr>
          <w:noProof/>
        </w:rPr>
        <w:t>1</w:t>
      </w:r>
      <w:r>
        <w:fldChar w:fldCharType="end"/>
      </w:r>
      <w:r>
        <w:t xml:space="preserve">. Η διαχείριση της αξιολόγησης και της έγκρισης των προθεσμιών γίνεται από το σύστημα τελωνειακών αποφάσεων. Εάν η συνολική παράταση της προθεσμίας για συγκεκριμένη διαδικασία λήψης απόφασης είναι μικρότερη από αυτήν που ορίζεται στον </w:t>
      </w:r>
      <w:r>
        <w:fldChar w:fldCharType="begin"/>
      </w:r>
      <w:r>
        <w:instrText xml:space="preserve"> REF _Ref475354124 \h </w:instrText>
      </w:r>
      <w:r>
        <w:fldChar w:fldCharType="separate"/>
      </w:r>
      <w:r w:rsidR="00250AAC">
        <w:t>Πίνακα</w:t>
      </w:r>
      <w:bookmarkStart w:id="4" w:name="_GoBack"/>
      <w:bookmarkEnd w:id="4"/>
      <w:r>
        <w:t xml:space="preserve"> </w:t>
      </w:r>
      <w:r>
        <w:rPr>
          <w:noProof/>
        </w:rPr>
        <w:t>1</w:t>
      </w:r>
      <w:r>
        <w:fldChar w:fldCharType="end"/>
      </w:r>
      <w:r>
        <w:t xml:space="preserve">, η αίτηση παράτασης της προθεσμίας εγκρίνεται από το σύστημα. Διαφορετικά, η αίτηση παράτασης της προθεσμίας απορρίπτεται. Και στις δύο περιπτώσεις, ο τελωνειακός υπάλληλος ενημερώνεται σχετικά με το αποτέλεσμα. </w:t>
      </w:r>
    </w:p>
    <w:p w14:paraId="16B90E99" w14:textId="68AC2A2E" w:rsidR="00397D95" w:rsidRDefault="00397D95" w:rsidP="00A50813">
      <w:r>
        <w:t>Μετά την έγκριση της αίτησης παράτασης της προθεσμίας, ο συναλλασσόμενος ενημερώνεται σχετικά με τους λόγους παράτασης της προθεσμίας λήψης απόφασης, καθώς και σχετικά με τη νέα διάρκεια της προθεσμίας για τη λήψη της απόφασης.</w:t>
      </w:r>
    </w:p>
    <w:p w14:paraId="52FF294C" w14:textId="11DDE153" w:rsidR="00397D95" w:rsidRPr="00A50813" w:rsidRDefault="00397D95" w:rsidP="00A50813">
      <w:r>
        <w:rPr>
          <w:noProof/>
          <w:lang w:val="en-GB" w:eastAsia="en-GB" w:bidi="ar-SA"/>
        </w:rPr>
        <w:lastRenderedPageBreak/>
        <mc:AlternateContent>
          <mc:Choice Requires="wps">
            <w:drawing>
              <wp:inline distT="0" distB="0" distL="0" distR="0" wp14:anchorId="127E4823" wp14:editId="11A23432">
                <wp:extent cx="5748793" cy="2725515"/>
                <wp:effectExtent l="19050" t="19050" r="2349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B879E1B" w14:textId="093A5809" w:rsidR="00785361" w:rsidRDefault="00397D95" w:rsidP="00D22F38">
                            <w:pPr>
                              <w:pStyle w:val="ListParagraph"/>
                              <w:ind w:left="568"/>
                              <w:contextualSpacing w:val="0"/>
                              <w:rPr>
                                <w:color w:val="806000" w:themeColor="accent4" w:themeShade="80"/>
                              </w:rPr>
                            </w:pPr>
                            <w:r>
                              <w:rPr>
                                <w:noProof/>
                                <w:color w:val="806000" w:themeColor="accent4" w:themeShade="80"/>
                                <w:position w:val="-20"/>
                                <w:sz w:val="18"/>
                                <w:szCs w:val="16"/>
                                <w:lang w:val="en-GB" w:eastAsia="en-GB" w:bidi="ar-SA"/>
                              </w:rPr>
                              <w:drawing>
                                <wp:inline distT="0" distB="0" distL="0" distR="0" wp14:anchorId="23153840" wp14:editId="001BA760">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6"/>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Pr>
                                <w:b/>
                                <w:color w:val="806000" w:themeColor="accent4" w:themeShade="80"/>
                              </w:rPr>
                              <w:t>Εξαίρεση σχετικά με τη γνωστοποίηση προς τον συναλλασσόμενο</w:t>
                            </w:r>
                            <w:r>
                              <w:rPr>
                                <w:color w:val="806000" w:themeColor="accent4" w:themeShade="80"/>
                              </w:rPr>
                              <w:t xml:space="preserve"> </w:t>
                            </w:r>
                          </w:p>
                          <w:p w14:paraId="74C4203A" w14:textId="7E9BB138" w:rsidR="00397D95" w:rsidRPr="000832D7" w:rsidRDefault="00397D95" w:rsidP="00BD3D07">
                            <w:pPr>
                              <w:pStyle w:val="ListParagraph"/>
                              <w:numPr>
                                <w:ilvl w:val="0"/>
                                <w:numId w:val="43"/>
                              </w:numPr>
                              <w:ind w:left="568" w:hanging="284"/>
                              <w:contextualSpacing w:val="0"/>
                              <w:rPr>
                                <w:color w:val="806000" w:themeColor="accent4" w:themeShade="80"/>
                                <w:sz w:val="16"/>
                              </w:rPr>
                            </w:pPr>
                            <w:r>
                              <w:rPr>
                                <w:color w:val="806000" w:themeColor="accent4" w:themeShade="80"/>
                              </w:rPr>
                              <w:t xml:space="preserve">Εάν ο τελωνειακός υπάλληλος διεξάγει έρευνες, θα πρέπει να διαπιστώσει κατά πόσον η γνωστοποίηση προς τον συναλλασσομένου θα θέσει σε κίνδυνο την έρευνα. Εάν η γνωστοποίηση θα μπορούσε να θέσει σε κίνδυνο τις διεξαγόμενες έρευνες, ο συναλλασσόμενος δεν θα ενημερωθεί σχετικά με την παράταση της προθεσμίας. </w:t>
                            </w:r>
                          </w:p>
                        </w:txbxContent>
                      </wps:txbx>
                      <wps:bodyPr rot="0" vert="horz" wrap="square" lIns="90000" tIns="0" rIns="91440" bIns="0" anchor="ctr" anchorCtr="0">
                        <a:spAutoFit/>
                      </wps:bodyPr>
                    </wps:wsp>
                  </a:graphicData>
                </a:graphic>
              </wp:inline>
            </w:drawing>
          </mc:Choice>
          <mc:Fallback>
            <w:pict>
              <v:roundrec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o="urn:schemas-microsoft-com:office:office" xmlns:w14="http://schemas.microsoft.com/office/word/2010/wordml" xmlns:v="urn:schemas-microsoft-com:vml" w14:anchorId="127E4823"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oeKujwIAAG0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5B879E1B" w14:textId="093A5809" w:rsidR="00785361" w:rsidRDefault="00397D95" w:rsidP="00D22F38">
                      <w:pPr>
                        <w:pStyle w:val="ListParagraph"/>
                        <w:ind w:left="568"/>
                        <w:contextualSpacing w:val="0"/>
                        <w:rPr>
                          <w:color w:val="806000" w:themeColor="accent4" w:themeShade="80"/>
                        </w:rPr>
                      </w:pPr>
                      <w:r>
                        <w:rPr>
                          <w:noProof/>
                          <w:color w:val="806000" w:themeColor="accent4" w:themeShade="80"/>
                          <w:position w:val="-20"/>
                          <w:sz w:val="18"/>
                          <w:szCs w:val="16"/>
                        </w:rPr>
                        <w:drawing>
                          <wp:inline xmlns:wp14="http://schemas.microsoft.com/office/word/2010/wordprocessingDrawing" xmlns:wp="http://schemas.openxmlformats.org/drawingml/2006/wordprocessingDrawing" distT="0" distB="0" distL="0" distR="0" wp14:anchorId="23153840" wp14:editId="001BA760">
                            <wp:extent cx="360000" cy="360000"/>
                            <wp:effectExtent l="0" t="0" r="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color w:val="806000" w:themeColor="accent4" w:themeShade="80"/>
                          <w:sz w:val="16"/>
                        </w:rPr>
                        <w:t xml:space="preserve"> </w:t>
                      </w:r>
                      <w:r>
                        <w:rPr>
                          <w:b/>
                          <w:color w:val="806000" w:themeColor="accent4" w:themeShade="80"/>
                        </w:rPr>
                        <w:t>Εξαίρεση σχετικά με τη γνωστοποίηση προς τον συναλλασσόμενο</w:t>
                      </w:r>
                      <w:r>
                        <w:rPr>
                          <w:color w:val="806000" w:themeColor="accent4" w:themeShade="80"/>
                        </w:rPr>
                        <w:t xml:space="preserve"> </w:t>
                      </w:r>
                    </w:p>
                    <w:p w14:paraId="74C4203A" w14:textId="7E9BB138" w:rsidR="00397D95" w:rsidRPr="000832D7" w:rsidRDefault="00397D95" w:rsidP="00BD3D07">
                      <w:pPr>
                        <w:pStyle w:val="ListParagraph"/>
                        <w:numPr>
                          <w:ilvl w:val="0"/>
                          <w:numId w:val="43"/>
                        </w:numPr>
                        <w:ind w:left="568" w:hanging="284"/>
                        <w:contextualSpacing w:val="0"/>
                        <w:rPr>
                          <w:color w:val="806000" w:themeColor="accent4" w:themeShade="80"/>
                          <w:sz w:val="16"/>
                        </w:rPr>
                      </w:pPr>
                      <w:r>
                        <w:rPr>
                          <w:color w:val="806000" w:themeColor="accent4" w:themeShade="80"/>
                        </w:rPr>
                        <w:t xml:space="preserve">Εάν ο τελωνειακός υπάλληλος διεξάγει έρευνες, θα πρέπει να διαπιστώσει κατά πόσον η γνωστοποίηση προς τον συναλλασσομένου θα θέσει σε κίνδυνο την έρευνα. </w:t>
                      </w:r>
                      <w:r>
                        <w:rPr>
                          <w:color w:val="806000" w:themeColor="accent4" w:themeShade="80"/>
                        </w:rPr>
                        <w:t xml:space="preserve">Εάν η γνωστοποίηση θα μπορούσε να θέσει σε κίνδυνο τις διεξαγόμενες έρευνες, ο συναλλασσόμενος δεν θα ενημερωθεί σχετικά με την παράταση της προθεσμίας. </w:t>
                      </w:r>
                    </w:p>
                  </w:txbxContent>
                </v:textbox>
                <w10:anchorlock xmlns:w10="urn:schemas-microsoft-com:office:word"/>
              </v:roundrect>
            </w:pict>
          </mc:Fallback>
        </mc:AlternateContent>
      </w:r>
    </w:p>
    <w:sectPr w:rsidR="00397D95" w:rsidRPr="00A50813" w:rsidSect="0056695E">
      <w:footerReference w:type="default" r:id="rId18"/>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25ED2" w14:textId="77777777" w:rsidR="0073533F" w:rsidRDefault="0073533F">
      <w:r>
        <w:separator/>
      </w:r>
    </w:p>
  </w:endnote>
  <w:endnote w:type="continuationSeparator" w:id="0">
    <w:p w14:paraId="7D9548DD" w14:textId="77777777" w:rsidR="0073533F" w:rsidRDefault="007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rPr>
        <w:noProof/>
      </w:rPr>
    </w:sdtEndPr>
    <w:sdtContent>
      <w:p w14:paraId="304330DE" w14:textId="4D122E11" w:rsidR="00D912A0" w:rsidRDefault="00D912A0" w:rsidP="00D912A0">
        <w:pPr>
          <w:pStyle w:val="Footer"/>
          <w:jc w:val="center"/>
        </w:pPr>
        <w:r>
          <w:fldChar w:fldCharType="begin"/>
        </w:r>
        <w:r>
          <w:instrText xml:space="preserve"> PAGE   \* MERGEFORMAT </w:instrText>
        </w:r>
        <w:r>
          <w:fldChar w:fldCharType="separate"/>
        </w:r>
        <w:r w:rsidR="00250AA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AF7D4" w14:textId="77777777" w:rsidR="0073533F" w:rsidRDefault="0073533F">
      <w:r>
        <w:separator/>
      </w:r>
    </w:p>
  </w:footnote>
  <w:footnote w:type="continuationSeparator" w:id="0">
    <w:p w14:paraId="7F41335E" w14:textId="77777777" w:rsidR="0073533F" w:rsidRDefault="00735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01D0FBB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3">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B013E3"/>
    <w:multiLevelType w:val="hybridMultilevel"/>
    <w:tmpl w:val="D0F830FC"/>
    <w:lvl w:ilvl="0" w:tplc="C6D8DB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7"/>
  </w:num>
  <w:num w:numId="9">
    <w:abstractNumId w:val="30"/>
  </w:num>
  <w:num w:numId="10">
    <w:abstractNumId w:val="28"/>
  </w:num>
  <w:num w:numId="11">
    <w:abstractNumId w:val="21"/>
  </w:num>
  <w:num w:numId="12">
    <w:abstractNumId w:val="34"/>
  </w:num>
  <w:num w:numId="13">
    <w:abstractNumId w:val="19"/>
  </w:num>
  <w:num w:numId="14">
    <w:abstractNumId w:val="13"/>
  </w:num>
  <w:num w:numId="15">
    <w:abstractNumId w:val="17"/>
  </w:num>
  <w:num w:numId="16">
    <w:abstractNumId w:val="5"/>
  </w:num>
  <w:num w:numId="17">
    <w:abstractNumId w:val="14"/>
  </w:num>
  <w:num w:numId="18">
    <w:abstractNumId w:val="25"/>
  </w:num>
  <w:num w:numId="19">
    <w:abstractNumId w:val="42"/>
  </w:num>
  <w:num w:numId="20">
    <w:abstractNumId w:val="15"/>
  </w:num>
  <w:num w:numId="21">
    <w:abstractNumId w:val="36"/>
  </w:num>
  <w:num w:numId="22">
    <w:abstractNumId w:val="24"/>
  </w:num>
  <w:num w:numId="23">
    <w:abstractNumId w:val="33"/>
  </w:num>
  <w:num w:numId="24">
    <w:abstractNumId w:val="26"/>
  </w:num>
  <w:num w:numId="25">
    <w:abstractNumId w:val="31"/>
  </w:num>
  <w:num w:numId="26">
    <w:abstractNumId w:val="38"/>
  </w:num>
  <w:num w:numId="27">
    <w:abstractNumId w:val="29"/>
  </w:num>
  <w:num w:numId="28">
    <w:abstractNumId w:val="7"/>
  </w:num>
  <w:num w:numId="29">
    <w:abstractNumId w:val="12"/>
  </w:num>
  <w:num w:numId="30">
    <w:abstractNumId w:val="32"/>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7"/>
  </w:num>
  <w:num w:numId="40">
    <w:abstractNumId w:val="35"/>
  </w:num>
  <w:num w:numId="41">
    <w:abstractNumId w:val="6"/>
  </w:num>
  <w:num w:numId="42">
    <w:abstractNumId w:val="8"/>
  </w:num>
  <w:num w:numId="43">
    <w:abstractNumId w:val="3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039"/>
    <w:rsid w:val="000272C4"/>
    <w:rsid w:val="00027314"/>
    <w:rsid w:val="00027579"/>
    <w:rsid w:val="00027648"/>
    <w:rsid w:val="00027688"/>
    <w:rsid w:val="00027A80"/>
    <w:rsid w:val="00027AC5"/>
    <w:rsid w:val="00027B5A"/>
    <w:rsid w:val="00027E3F"/>
    <w:rsid w:val="00030AA0"/>
    <w:rsid w:val="00031157"/>
    <w:rsid w:val="0003153F"/>
    <w:rsid w:val="00031FAF"/>
    <w:rsid w:val="00032685"/>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0D"/>
    <w:rsid w:val="00083E1D"/>
    <w:rsid w:val="000846E7"/>
    <w:rsid w:val="00084A17"/>
    <w:rsid w:val="000852B0"/>
    <w:rsid w:val="000859B4"/>
    <w:rsid w:val="00085A23"/>
    <w:rsid w:val="00086BA6"/>
    <w:rsid w:val="00086ECD"/>
    <w:rsid w:val="00087139"/>
    <w:rsid w:val="00087273"/>
    <w:rsid w:val="000877B5"/>
    <w:rsid w:val="00087B8F"/>
    <w:rsid w:val="00087E41"/>
    <w:rsid w:val="000907E2"/>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13D"/>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457"/>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66D"/>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0B"/>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97A5B"/>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0AAC"/>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D7655"/>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141"/>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89B"/>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97D95"/>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368"/>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CF4"/>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AB9"/>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94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04D"/>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24C"/>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6D5"/>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658"/>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E83"/>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8F0"/>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973"/>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8D3"/>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289"/>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33F"/>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6B2"/>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361"/>
    <w:rsid w:val="00785AFA"/>
    <w:rsid w:val="00785B0B"/>
    <w:rsid w:val="00785E39"/>
    <w:rsid w:val="00786083"/>
    <w:rsid w:val="00786266"/>
    <w:rsid w:val="00786913"/>
    <w:rsid w:val="00786953"/>
    <w:rsid w:val="007869A3"/>
    <w:rsid w:val="00787F9D"/>
    <w:rsid w:val="00787FC4"/>
    <w:rsid w:val="00790132"/>
    <w:rsid w:val="00790BDC"/>
    <w:rsid w:val="00791492"/>
    <w:rsid w:val="00791800"/>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CA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252"/>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9A1"/>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2F10"/>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63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397"/>
    <w:rsid w:val="00956476"/>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649"/>
    <w:rsid w:val="00971BE5"/>
    <w:rsid w:val="00971DFC"/>
    <w:rsid w:val="009727A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659"/>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622"/>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578"/>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906"/>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13"/>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8C9"/>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BAB"/>
    <w:rsid w:val="00B00CD5"/>
    <w:rsid w:val="00B0103E"/>
    <w:rsid w:val="00B01ABD"/>
    <w:rsid w:val="00B01D1F"/>
    <w:rsid w:val="00B02457"/>
    <w:rsid w:val="00B026B9"/>
    <w:rsid w:val="00B03164"/>
    <w:rsid w:val="00B03B9B"/>
    <w:rsid w:val="00B04686"/>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0F5"/>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3BFC"/>
    <w:rsid w:val="00BD3D07"/>
    <w:rsid w:val="00BD4177"/>
    <w:rsid w:val="00BD4477"/>
    <w:rsid w:val="00BD44C4"/>
    <w:rsid w:val="00BD4635"/>
    <w:rsid w:val="00BD470D"/>
    <w:rsid w:val="00BD506B"/>
    <w:rsid w:val="00BD5631"/>
    <w:rsid w:val="00BD5D0A"/>
    <w:rsid w:val="00BD5F0F"/>
    <w:rsid w:val="00BD5F52"/>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2E27"/>
    <w:rsid w:val="00BE33CA"/>
    <w:rsid w:val="00BE3710"/>
    <w:rsid w:val="00BE4153"/>
    <w:rsid w:val="00BE4315"/>
    <w:rsid w:val="00BE46D2"/>
    <w:rsid w:val="00BE48B7"/>
    <w:rsid w:val="00BE48D0"/>
    <w:rsid w:val="00BE48DE"/>
    <w:rsid w:val="00BE4ADC"/>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6AC"/>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6F7"/>
    <w:rsid w:val="00C33823"/>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ADF"/>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B88"/>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506"/>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2F38"/>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64"/>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2A0"/>
    <w:rsid w:val="00D91BAA"/>
    <w:rsid w:val="00D91C7A"/>
    <w:rsid w:val="00D91F7E"/>
    <w:rsid w:val="00D92218"/>
    <w:rsid w:val="00D929AE"/>
    <w:rsid w:val="00D939CE"/>
    <w:rsid w:val="00D93F4D"/>
    <w:rsid w:val="00D9470F"/>
    <w:rsid w:val="00D94F59"/>
    <w:rsid w:val="00D953E3"/>
    <w:rsid w:val="00D95B17"/>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6C85"/>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0BF3"/>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5604"/>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02"/>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0C9"/>
    <w:rsid w:val="00F133D0"/>
    <w:rsid w:val="00F13AEA"/>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547"/>
    <w:rsid w:val="00F24662"/>
    <w:rsid w:val="00F24C6B"/>
    <w:rsid w:val="00F24D45"/>
    <w:rsid w:val="00F2537A"/>
    <w:rsid w:val="00F25D49"/>
    <w:rsid w:val="00F26026"/>
    <w:rsid w:val="00F2630A"/>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772"/>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21E"/>
    <w:rsid w:val="00FC687F"/>
    <w:rsid w:val="00FC6C0F"/>
    <w:rsid w:val="00FC73A9"/>
    <w:rsid w:val="00FC7CC7"/>
    <w:rsid w:val="00FC7F14"/>
    <w:rsid w:val="00FD05D1"/>
    <w:rsid w:val="00FD06DB"/>
    <w:rsid w:val="00FD19A5"/>
    <w:rsid w:val="00FD2B00"/>
    <w:rsid w:val="00FD3187"/>
    <w:rsid w:val="00FD35BF"/>
    <w:rsid w:val="00FD3FDE"/>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D912A0"/>
    <w:rPr>
      <w:rFonts w:ascii="Arial" w:hAnsi="Arial"/>
      <w:sz w:val="18"/>
      <w:szCs w:val="24"/>
      <w:lang w:eastAsia="el-GR"/>
    </w:rPr>
  </w:style>
  <w:style w:type="table" w:customStyle="1" w:styleId="GridTable5Dark-Accent41">
    <w:name w:val="Grid Table 5 Dark - Accent 41"/>
    <w:basedOn w:val="TableNormal"/>
    <w:uiPriority w:val="50"/>
    <w:rsid w:val="000326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D912A0"/>
    <w:rPr>
      <w:rFonts w:ascii="Arial" w:hAnsi="Arial"/>
      <w:sz w:val="18"/>
      <w:szCs w:val="24"/>
      <w:lang w:eastAsia="el-GR"/>
    </w:rPr>
  </w:style>
  <w:style w:type="table" w:customStyle="1" w:styleId="GridTable5Dark-Accent41">
    <w:name w:val="Grid Table 5 Dark - Accent 41"/>
    <w:basedOn w:val="TableNormal"/>
    <w:uiPriority w:val="50"/>
    <w:rsid w:val="000326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7E2D-68F4-4689-910B-43411A41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4.xml><?xml version="1.0" encoding="utf-8"?>
<ds:datastoreItem xmlns:ds="http://schemas.openxmlformats.org/officeDocument/2006/customXml" ds:itemID="{2AC0ABF1-B36E-4C07-9D70-52F66C7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1250</TotalTime>
  <Pages>3</Pages>
  <Words>446</Words>
  <Characters>2886</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3300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52</cp:revision>
  <cp:lastPrinted>2010-08-20T08:44:00Z</cp:lastPrinted>
  <dcterms:created xsi:type="dcterms:W3CDTF">2016-12-21T09:25:00Z</dcterms:created>
  <dcterms:modified xsi:type="dcterms:W3CDTF">2019-02-07T13:40:00Z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