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268F6A4B" w:rsidR="005A195B" w:rsidRPr="00DA38BA" w:rsidRDefault="00B62C34" w:rsidP="00806D03">
      <w:pPr>
        <w:pStyle w:val="Heading1"/>
      </w:pPr>
      <w:bookmarkStart w:id="0" w:name="_GoBack"/>
      <w:bookmarkEnd w:id="0"/>
      <w:r>
        <w:t>Consult Involved Member States (Standard Process, Transit and RSS)</w:t>
      </w:r>
    </w:p>
    <w:p w14:paraId="447DDD79" w14:textId="0011E48B" w:rsidR="0067563C" w:rsidRDefault="00806D03" w:rsidP="0067563C">
      <w:pPr>
        <w:pStyle w:val="Heading2"/>
      </w:pPr>
      <w:r>
        <w:t>Stakeholders involved in the Process</w:t>
      </w:r>
    </w:p>
    <w:p w14:paraId="24A4580B" w14:textId="0D21EB92" w:rsidR="0067563C" w:rsidRDefault="0067563C" w:rsidP="00B7713A">
      <w:pPr>
        <w:pStyle w:val="ListParagraph"/>
        <w:numPr>
          <w:ilvl w:val="0"/>
          <w:numId w:val="42"/>
        </w:numPr>
        <w:ind w:left="568" w:hanging="284"/>
        <w:contextualSpacing w:val="0"/>
      </w:pPr>
      <w:r>
        <w:t>Decision-</w:t>
      </w:r>
      <w:r w:rsidR="001F4FA7">
        <w:t>t</w:t>
      </w:r>
      <w:r>
        <w:t xml:space="preserve">aking </w:t>
      </w:r>
      <w:r w:rsidR="001F4FA7">
        <w:t>c</w:t>
      </w:r>
      <w:r>
        <w:t xml:space="preserve">ustoms </w:t>
      </w:r>
      <w:r w:rsidR="001F4FA7">
        <w:t>a</w:t>
      </w:r>
      <w:r>
        <w:t>uthority</w:t>
      </w:r>
      <w:r w:rsidR="0062529D">
        <w:t>;</w:t>
      </w:r>
    </w:p>
    <w:p w14:paraId="4FD25944" w14:textId="78CC20E3" w:rsidR="0067563C" w:rsidRDefault="00B7713A" w:rsidP="00B7713A">
      <w:pPr>
        <w:pStyle w:val="ListParagraph"/>
        <w:numPr>
          <w:ilvl w:val="0"/>
          <w:numId w:val="42"/>
        </w:numPr>
        <w:ind w:left="568" w:hanging="284"/>
        <w:contextualSpacing w:val="0"/>
      </w:pPr>
      <w:r>
        <w:t xml:space="preserve">Consulted </w:t>
      </w:r>
      <w:r w:rsidR="008A3670">
        <w:t>c</w:t>
      </w:r>
      <w:r>
        <w:t xml:space="preserve">ustoms </w:t>
      </w:r>
      <w:r w:rsidR="008A3670">
        <w:t>a</w:t>
      </w:r>
      <w:r>
        <w:t>uthorities</w:t>
      </w:r>
      <w:r w:rsidR="0062529D">
        <w:t>.</w:t>
      </w:r>
    </w:p>
    <w:p w14:paraId="53B7532E" w14:textId="77777777" w:rsidR="0067563C" w:rsidRDefault="0067563C" w:rsidP="0067563C">
      <w:pPr>
        <w:pStyle w:val="Heading2"/>
      </w:pPr>
      <w:r>
        <w:t>Business</w:t>
      </w:r>
    </w:p>
    <w:p w14:paraId="3AFEDE82" w14:textId="611DAFE3" w:rsidR="0067563C" w:rsidRDefault="0067563C" w:rsidP="0067563C">
      <w:r>
        <w:t>The Consult Involved Member State</w:t>
      </w:r>
      <w:r w:rsidR="009278A1">
        <w:t>s</w:t>
      </w:r>
      <w:r>
        <w:t xml:space="preserve"> process is part of the </w:t>
      </w:r>
      <w:r w:rsidR="001F4FA7">
        <w:t>d</w:t>
      </w:r>
      <w:r>
        <w:t>ecision-</w:t>
      </w:r>
      <w:r w:rsidR="001F4FA7">
        <w:t>t</w:t>
      </w:r>
      <w:r>
        <w:t xml:space="preserve">aking process. </w:t>
      </w:r>
      <w:r>
        <w:fldChar w:fldCharType="begin"/>
      </w:r>
      <w:r>
        <w:instrText xml:space="preserve"> REF _Ref475015953 \h </w:instrText>
      </w:r>
      <w:r>
        <w:fldChar w:fldCharType="separate"/>
      </w:r>
      <w:r w:rsidR="00021FC0">
        <w:t xml:space="preserve">Figure </w:t>
      </w:r>
      <w:r w:rsidR="00021FC0">
        <w:rPr>
          <w:noProof/>
        </w:rPr>
        <w:t>1</w:t>
      </w:r>
      <w:r>
        <w:fldChar w:fldCharType="end"/>
      </w:r>
      <w:r>
        <w:t xml:space="preserve"> depicts the high-level overview of the </w:t>
      </w:r>
      <w:r w:rsidR="001F4FA7">
        <w:t>d</w:t>
      </w:r>
      <w:r>
        <w:t>ecision-</w:t>
      </w:r>
      <w:r w:rsidR="001F4FA7">
        <w:t>t</w:t>
      </w:r>
      <w:r>
        <w:t>aking process. The Consult Involved Member State</w:t>
      </w:r>
      <w:r w:rsidR="009278A1">
        <w:t>s</w:t>
      </w:r>
      <w:r>
        <w:t xml:space="preserve"> process is one of the Auxiliary Activities.</w:t>
      </w:r>
    </w:p>
    <w:p w14:paraId="5EAAF00D" w14:textId="604CC3C1" w:rsidR="0067563C" w:rsidRDefault="007F6F41" w:rsidP="0067563C">
      <w:r>
        <w:rPr>
          <w:noProof/>
          <w:lang w:eastAsia="en-GB"/>
        </w:rPr>
        <mc:AlternateContent>
          <mc:Choice Requires="wps">
            <w:drawing>
              <wp:inline distT="0" distB="0" distL="0" distR="0" wp14:anchorId="6F622DD4" wp14:editId="24850E09">
                <wp:extent cx="5748793" cy="2725515"/>
                <wp:effectExtent l="19050" t="19050" r="2349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2C068CE" w14:textId="5DCB9C31" w:rsidR="00A87C3C" w:rsidRDefault="003A5424" w:rsidP="00A87C3C">
                            <w:pPr>
                              <w:spacing w:after="0"/>
                              <w:jc w:val="left"/>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27CA8C7C" wp14:editId="207C3AA1">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60000" cy="360000"/>
                                          </a:xfrm>
                                          <a:prstGeom prst="rect">
                                            <a:avLst/>
                                          </a:prstGeom>
                                        </pic:spPr>
                                      </pic:pic>
                                    </a:graphicData>
                                  </a:graphic>
                                </wp:inline>
                              </w:drawing>
                            </w:r>
                            <w:r w:rsidR="00A87C3C">
                              <w:rPr>
                                <w:color w:val="806000" w:themeColor="accent4" w:themeShade="80"/>
                                <w:sz w:val="18"/>
                              </w:rPr>
                              <w:t>A</w:t>
                            </w:r>
                            <w:r>
                              <w:rPr>
                                <w:color w:val="806000" w:themeColor="accent4" w:themeShade="80"/>
                                <w:sz w:val="18"/>
                              </w:rPr>
                              <w:t xml:space="preserve">ll </w:t>
                            </w:r>
                            <w:r w:rsidR="009278A1">
                              <w:rPr>
                                <w:color w:val="806000" w:themeColor="accent4" w:themeShade="80"/>
                                <w:sz w:val="18"/>
                              </w:rPr>
                              <w:t>reference</w:t>
                            </w:r>
                            <w:r w:rsidR="00C6340D">
                              <w:rPr>
                                <w:color w:val="806000" w:themeColor="accent4" w:themeShade="80"/>
                                <w:sz w:val="18"/>
                              </w:rPr>
                              <w:t>s</w:t>
                            </w:r>
                            <w:r w:rsidR="009278A1">
                              <w:rPr>
                                <w:color w:val="806000" w:themeColor="accent4" w:themeShade="80"/>
                                <w:sz w:val="18"/>
                              </w:rPr>
                              <w:t xml:space="preserve"> to</w:t>
                            </w:r>
                            <w:r>
                              <w:rPr>
                                <w:color w:val="806000" w:themeColor="accent4" w:themeShade="80"/>
                                <w:sz w:val="18"/>
                              </w:rPr>
                              <w:t xml:space="preserve"> </w:t>
                            </w:r>
                            <w:r w:rsidR="00CA2632">
                              <w:rPr>
                                <w:color w:val="806000" w:themeColor="accent4" w:themeShade="80"/>
                                <w:sz w:val="18"/>
                              </w:rPr>
                              <w:t xml:space="preserve">Consult Involved MS </w:t>
                            </w:r>
                            <w:r>
                              <w:rPr>
                                <w:color w:val="806000" w:themeColor="accent4" w:themeShade="80"/>
                                <w:sz w:val="18"/>
                              </w:rPr>
                              <w:t xml:space="preserve">in this </w:t>
                            </w:r>
                            <w:r w:rsidR="00A87C3C">
                              <w:rPr>
                                <w:color w:val="806000" w:themeColor="accent4" w:themeShade="80"/>
                                <w:sz w:val="18"/>
                              </w:rPr>
                              <w:t>section</w:t>
                            </w:r>
                            <w:r>
                              <w:rPr>
                                <w:color w:val="806000" w:themeColor="accent4" w:themeShade="80"/>
                                <w:sz w:val="18"/>
                              </w:rPr>
                              <w:t xml:space="preserve"> refers to </w:t>
                            </w:r>
                            <w:r w:rsidR="00A87C3C">
                              <w:rPr>
                                <w:color w:val="806000" w:themeColor="accent4" w:themeShade="80"/>
                                <w:sz w:val="18"/>
                              </w:rPr>
                              <w:t>the standard procedure of consultation of involved member states</w:t>
                            </w:r>
                            <w:r>
                              <w:rPr>
                                <w:color w:val="806000" w:themeColor="accent4" w:themeShade="80"/>
                                <w:sz w:val="18"/>
                              </w:rPr>
                              <w:t>.</w:t>
                            </w:r>
                          </w:p>
                          <w:p w14:paraId="2A2BA53B" w14:textId="77777777" w:rsidR="00A87C3C" w:rsidRDefault="00A87C3C" w:rsidP="007F6F41">
                            <w:pPr>
                              <w:spacing w:after="0"/>
                              <w:rPr>
                                <w:color w:val="806000" w:themeColor="accent4" w:themeShade="80"/>
                                <w:sz w:val="18"/>
                              </w:rPr>
                            </w:pPr>
                          </w:p>
                          <w:p w14:paraId="5ADF88BD" w14:textId="4129656F" w:rsidR="00A87C3C" w:rsidRDefault="00A87C3C" w:rsidP="00A87C3C">
                            <w:pPr>
                              <w:spacing w:after="0"/>
                              <w:rPr>
                                <w:color w:val="806000" w:themeColor="accent4" w:themeShade="80"/>
                                <w:sz w:val="18"/>
                              </w:rPr>
                            </w:pPr>
                            <w:r>
                              <w:rPr>
                                <w:color w:val="806000" w:themeColor="accent4" w:themeShade="80"/>
                                <w:sz w:val="18"/>
                              </w:rPr>
                              <w:t>T</w:t>
                            </w:r>
                            <w:r w:rsidR="00CA2632">
                              <w:rPr>
                                <w:color w:val="806000" w:themeColor="accent4" w:themeShade="80"/>
                                <w:sz w:val="18"/>
                              </w:rPr>
                              <w:t>his process is used to give a</w:t>
                            </w:r>
                            <w:r>
                              <w:rPr>
                                <w:color w:val="806000" w:themeColor="accent4" w:themeShade="80"/>
                                <w:sz w:val="18"/>
                              </w:rPr>
                              <w:t>n</w:t>
                            </w:r>
                            <w:r w:rsidR="00CA2632">
                              <w:rPr>
                                <w:color w:val="806000" w:themeColor="accent4" w:themeShade="80"/>
                                <w:sz w:val="18"/>
                              </w:rPr>
                              <w:t xml:space="preserve"> overview</w:t>
                            </w:r>
                            <w:r>
                              <w:rPr>
                                <w:color w:val="806000" w:themeColor="accent4" w:themeShade="80"/>
                                <w:sz w:val="18"/>
                              </w:rPr>
                              <w:t xml:space="preserve"> of the standard way of consulting one or several member states, even though no consultation is possible for authorisation types in the </w:t>
                            </w:r>
                            <w:r w:rsidR="006C0441">
                              <w:rPr>
                                <w:color w:val="806000" w:themeColor="accent4" w:themeShade="80"/>
                                <w:sz w:val="18"/>
                              </w:rPr>
                              <w:t>“Other applications (</w:t>
                            </w:r>
                            <w:r>
                              <w:rPr>
                                <w:color w:val="806000" w:themeColor="accent4" w:themeShade="80"/>
                                <w:sz w:val="18"/>
                              </w:rPr>
                              <w:t>Standard process</w:t>
                            </w:r>
                            <w:r w:rsidR="006C0441">
                              <w:rPr>
                                <w:color w:val="806000" w:themeColor="accent4" w:themeShade="80"/>
                                <w:sz w:val="18"/>
                              </w:rPr>
                              <w:t>)”</w:t>
                            </w:r>
                            <w:r>
                              <w:rPr>
                                <w:color w:val="806000" w:themeColor="accent4" w:themeShade="80"/>
                                <w:sz w:val="18"/>
                              </w:rPr>
                              <w:t xml:space="preserve"> group (a</w:t>
                            </w:r>
                            <w:r w:rsidRPr="00A87C3C">
                              <w:rPr>
                                <w:color w:val="806000" w:themeColor="accent4" w:themeShade="80"/>
                                <w:sz w:val="18"/>
                              </w:rPr>
                              <w:t>uthorisation for the provision of a comprehensive guarantee, including possible reduction or waiver</w:t>
                            </w:r>
                            <w:r>
                              <w:rPr>
                                <w:color w:val="806000" w:themeColor="accent4" w:themeShade="80"/>
                                <w:sz w:val="18"/>
                              </w:rPr>
                              <w:t>, a</w:t>
                            </w:r>
                            <w:r w:rsidRPr="00A87C3C">
                              <w:rPr>
                                <w:color w:val="806000" w:themeColor="accent4" w:themeShade="80"/>
                                <w:sz w:val="18"/>
                              </w:rPr>
                              <w:t>uthorisation of deferment of the payment</w:t>
                            </w:r>
                            <w:r>
                              <w:rPr>
                                <w:color w:val="806000" w:themeColor="accent4" w:themeShade="80"/>
                                <w:sz w:val="18"/>
                              </w:rPr>
                              <w:t>, a</w:t>
                            </w:r>
                            <w:r w:rsidRPr="00A87C3C">
                              <w:rPr>
                                <w:color w:val="806000" w:themeColor="accent4" w:themeShade="80"/>
                                <w:sz w:val="18"/>
                              </w:rPr>
                              <w:t>uthorisation for the simplification of the determination of amounts being part of the customs value of goods</w:t>
                            </w:r>
                            <w:r>
                              <w:rPr>
                                <w:color w:val="806000" w:themeColor="accent4" w:themeShade="80"/>
                                <w:sz w:val="18"/>
                              </w:rPr>
                              <w:t xml:space="preserve">). </w:t>
                            </w:r>
                          </w:p>
                          <w:p w14:paraId="7241193C" w14:textId="77777777" w:rsidR="00A87C3C" w:rsidRDefault="00A87C3C" w:rsidP="00A87C3C">
                            <w:pPr>
                              <w:spacing w:after="0"/>
                              <w:rPr>
                                <w:color w:val="806000" w:themeColor="accent4" w:themeShade="80"/>
                                <w:sz w:val="18"/>
                              </w:rPr>
                            </w:pPr>
                          </w:p>
                          <w:p w14:paraId="2117C418" w14:textId="4C8DAD60" w:rsidR="003A5424" w:rsidRPr="00F201C7" w:rsidRDefault="00A87C3C" w:rsidP="00A87C3C">
                            <w:pPr>
                              <w:spacing w:after="0"/>
                              <w:rPr>
                                <w:color w:val="806000" w:themeColor="accent4" w:themeShade="80"/>
                                <w:sz w:val="18"/>
                              </w:rPr>
                            </w:pPr>
                            <w:r>
                              <w:rPr>
                                <w:color w:val="806000" w:themeColor="accent4" w:themeShade="80"/>
                                <w:sz w:val="18"/>
                              </w:rPr>
                              <w:t xml:space="preserve">Henceforth, the consultation here mentioned is only applicable for the authorisations in </w:t>
                            </w:r>
                            <w:r w:rsidR="00CA2632">
                              <w:rPr>
                                <w:color w:val="806000" w:themeColor="accent4" w:themeShade="80"/>
                                <w:sz w:val="18"/>
                              </w:rPr>
                              <w:t xml:space="preserve">transit and RSS </w:t>
                            </w:r>
                            <w:r>
                              <w:rPr>
                                <w:color w:val="806000" w:themeColor="accent4" w:themeShade="80"/>
                                <w:sz w:val="18"/>
                              </w:rPr>
                              <w:t>groups</w:t>
                            </w:r>
                            <w:r w:rsidR="007D2288">
                              <w:rPr>
                                <w:color w:val="806000" w:themeColor="accent4" w:themeShade="80"/>
                                <w:sz w:val="18"/>
                              </w:rPr>
                              <w:t>.</w:t>
                            </w:r>
                          </w:p>
                        </w:txbxContent>
                      </wps:txbx>
                      <wps:bodyPr rot="0" vert="horz" wrap="square" lIns="90000" tIns="0" rIns="91440" bIns="0" anchor="ctr"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622DD4"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9NjwIAAGsFAAAOAAAAZHJzL2Uyb0RvYy54bWysVG1v2yAQ/j5p/wHxfbWTJU1qxam6dJkm&#10;dS9qux9AMI6tYo4BiZ3++h1ge+k2adK0LwiOu+eeu3tgdd01khyFsTWonE4uUkqE4lDUap/Tb4/b&#10;N0tKrGOqYBKUyOlJWHq9fv1q1epMTKECWQhDEETZrNU5rZzTWZJYXomG2QvQQuFlCaZhDo9mnxSG&#10;tYjeyGSappdJC6bQBriwFq238ZKuA35ZCu6+lKUVjsicIjcXVhPWnV+T9Yple8N0VfOeBvsHFg2r&#10;FSYdoW6ZY+Rg6t+gmpobsFC6Cw5NAmVZcxFqwGom6S/VPFRMi1ALNsfqsU32/8Hyz8evhtQFzo4S&#10;xRoc0aPoHHkHHZn67rTaZuj0oNHNdWj2nr5Sq++AP1miYFMxtRc3xkBbCVYgu4mPTM5CI471ILv2&#10;ExSYhh0cBKCuNI0HxGYQRMcpncbJeCocjfPFbLm4eksJx7vpYjqfT+YhB8uGcG2s+yCgIX6TUwMH&#10;Vdzj/EMOdryzznNi2eAXagBZF9taynAw+91GGnJkqJXtdpOmQR4YYs/dpCItcljOF/PYh/PLoFsx&#10;ojDOhXKz4CcPDRYe0S8Ru9cemlGh0TwbzD6nfwEeKZB+wcA3+b0qgnQdq2XcY4xUfdd9o/uWu5MU&#10;vjqp7kWJg8ZmTiPvIUHMHakOTQ3ePqzE5oyB/eBfBkoXpz36+jARnt4YmP494xgRsoJyY3BTKzB/&#10;AiiexszRf6g+1uzl57pd14t4B8UJ5Wcg/gH4Z+GmAvNMSYvvP6f2+4EZQYn8qFDCV2EWxIUDatJE&#10;62Q2w8NusDLFESKn3BlK4mHjwvfiy7D6BkW+rYPyPJ3IoaeJLzrMtv99/Jdxfg5eP//I9Q8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y7x9NjwIAAGs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62C068CE" w14:textId="5DCB9C31" w:rsidR="00A87C3C" w:rsidRDefault="003A5424" w:rsidP="00A87C3C">
                      <w:pPr>
                        <w:spacing w:after="0"/>
                        <w:jc w:val="left"/>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27CA8C7C" wp14:editId="207C3AA1">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sidR="00A87C3C">
                        <w:rPr>
                          <w:color w:val="806000" w:themeColor="accent4" w:themeShade="80"/>
                          <w:sz w:val="18"/>
                        </w:rPr>
                        <w:t>A</w:t>
                      </w:r>
                      <w:r>
                        <w:rPr>
                          <w:color w:val="806000" w:themeColor="accent4" w:themeShade="80"/>
                          <w:sz w:val="18"/>
                        </w:rPr>
                        <w:t xml:space="preserve">ll </w:t>
                      </w:r>
                      <w:r w:rsidR="009278A1">
                        <w:rPr>
                          <w:color w:val="806000" w:themeColor="accent4" w:themeShade="80"/>
                          <w:sz w:val="18"/>
                        </w:rPr>
                        <w:t>reference</w:t>
                      </w:r>
                      <w:r w:rsidR="00C6340D">
                        <w:rPr>
                          <w:color w:val="806000" w:themeColor="accent4" w:themeShade="80"/>
                          <w:sz w:val="18"/>
                        </w:rPr>
                        <w:t>s</w:t>
                      </w:r>
                      <w:r w:rsidR="009278A1">
                        <w:rPr>
                          <w:color w:val="806000" w:themeColor="accent4" w:themeShade="80"/>
                          <w:sz w:val="18"/>
                        </w:rPr>
                        <w:t xml:space="preserve"> to</w:t>
                      </w:r>
                      <w:r>
                        <w:rPr>
                          <w:color w:val="806000" w:themeColor="accent4" w:themeShade="80"/>
                          <w:sz w:val="18"/>
                        </w:rPr>
                        <w:t xml:space="preserve"> </w:t>
                      </w:r>
                      <w:r w:rsidR="00CA2632">
                        <w:rPr>
                          <w:color w:val="806000" w:themeColor="accent4" w:themeShade="80"/>
                          <w:sz w:val="18"/>
                        </w:rPr>
                        <w:t xml:space="preserve">Consult Involved MS </w:t>
                      </w:r>
                      <w:r>
                        <w:rPr>
                          <w:color w:val="806000" w:themeColor="accent4" w:themeShade="80"/>
                          <w:sz w:val="18"/>
                        </w:rPr>
                        <w:t xml:space="preserve">in this </w:t>
                      </w:r>
                      <w:r w:rsidR="00A87C3C">
                        <w:rPr>
                          <w:color w:val="806000" w:themeColor="accent4" w:themeShade="80"/>
                          <w:sz w:val="18"/>
                        </w:rPr>
                        <w:t>section</w:t>
                      </w:r>
                      <w:r>
                        <w:rPr>
                          <w:color w:val="806000" w:themeColor="accent4" w:themeShade="80"/>
                          <w:sz w:val="18"/>
                        </w:rPr>
                        <w:t xml:space="preserve"> refers to </w:t>
                      </w:r>
                      <w:r w:rsidR="00A87C3C">
                        <w:rPr>
                          <w:color w:val="806000" w:themeColor="accent4" w:themeShade="80"/>
                          <w:sz w:val="18"/>
                        </w:rPr>
                        <w:t>the standard procedure of consultation of involved member states</w:t>
                      </w:r>
                      <w:r>
                        <w:rPr>
                          <w:color w:val="806000" w:themeColor="accent4" w:themeShade="80"/>
                          <w:sz w:val="18"/>
                        </w:rPr>
                        <w:t>.</w:t>
                      </w:r>
                    </w:p>
                    <w:p w14:paraId="2A2BA53B" w14:textId="77777777" w:rsidR="00A87C3C" w:rsidRDefault="00A87C3C" w:rsidP="007F6F41">
                      <w:pPr>
                        <w:spacing w:after="0"/>
                        <w:rPr>
                          <w:color w:val="806000" w:themeColor="accent4" w:themeShade="80"/>
                          <w:sz w:val="18"/>
                        </w:rPr>
                      </w:pPr>
                    </w:p>
                    <w:p w14:paraId="5ADF88BD" w14:textId="4129656F" w:rsidR="00A87C3C" w:rsidRDefault="00A87C3C" w:rsidP="00A87C3C">
                      <w:pPr>
                        <w:spacing w:after="0"/>
                        <w:rPr>
                          <w:color w:val="806000" w:themeColor="accent4" w:themeShade="80"/>
                          <w:sz w:val="18"/>
                        </w:rPr>
                      </w:pPr>
                      <w:r>
                        <w:rPr>
                          <w:color w:val="806000" w:themeColor="accent4" w:themeShade="80"/>
                          <w:sz w:val="18"/>
                        </w:rPr>
                        <w:t>T</w:t>
                      </w:r>
                      <w:r w:rsidR="00CA2632">
                        <w:rPr>
                          <w:color w:val="806000" w:themeColor="accent4" w:themeShade="80"/>
                          <w:sz w:val="18"/>
                        </w:rPr>
                        <w:t>his process is used to give a</w:t>
                      </w:r>
                      <w:r>
                        <w:rPr>
                          <w:color w:val="806000" w:themeColor="accent4" w:themeShade="80"/>
                          <w:sz w:val="18"/>
                        </w:rPr>
                        <w:t>n</w:t>
                      </w:r>
                      <w:r w:rsidR="00CA2632">
                        <w:rPr>
                          <w:color w:val="806000" w:themeColor="accent4" w:themeShade="80"/>
                          <w:sz w:val="18"/>
                        </w:rPr>
                        <w:t xml:space="preserve"> overview</w:t>
                      </w:r>
                      <w:r>
                        <w:rPr>
                          <w:color w:val="806000" w:themeColor="accent4" w:themeShade="80"/>
                          <w:sz w:val="18"/>
                        </w:rPr>
                        <w:t xml:space="preserve"> of the standard way of consulting one or several member states, even though no consultation is possible for authorisation types in the </w:t>
                      </w:r>
                      <w:r w:rsidR="006C0441">
                        <w:rPr>
                          <w:color w:val="806000" w:themeColor="accent4" w:themeShade="80"/>
                          <w:sz w:val="18"/>
                        </w:rPr>
                        <w:t>“Other applications (</w:t>
                      </w:r>
                      <w:r>
                        <w:rPr>
                          <w:color w:val="806000" w:themeColor="accent4" w:themeShade="80"/>
                          <w:sz w:val="18"/>
                        </w:rPr>
                        <w:t>Standard process</w:t>
                      </w:r>
                      <w:r w:rsidR="006C0441">
                        <w:rPr>
                          <w:color w:val="806000" w:themeColor="accent4" w:themeShade="80"/>
                          <w:sz w:val="18"/>
                        </w:rPr>
                        <w:t>)”</w:t>
                      </w:r>
                      <w:r>
                        <w:rPr>
                          <w:color w:val="806000" w:themeColor="accent4" w:themeShade="80"/>
                          <w:sz w:val="18"/>
                        </w:rPr>
                        <w:t xml:space="preserve"> group (a</w:t>
                      </w:r>
                      <w:r w:rsidRPr="00A87C3C">
                        <w:rPr>
                          <w:color w:val="806000" w:themeColor="accent4" w:themeShade="80"/>
                          <w:sz w:val="18"/>
                        </w:rPr>
                        <w:t>uthorisation for the provision of a comprehensive guarantee, including possible reduction or waiver</w:t>
                      </w:r>
                      <w:r>
                        <w:rPr>
                          <w:color w:val="806000" w:themeColor="accent4" w:themeShade="80"/>
                          <w:sz w:val="18"/>
                        </w:rPr>
                        <w:t>, a</w:t>
                      </w:r>
                      <w:r w:rsidRPr="00A87C3C">
                        <w:rPr>
                          <w:color w:val="806000" w:themeColor="accent4" w:themeShade="80"/>
                          <w:sz w:val="18"/>
                        </w:rPr>
                        <w:t>uthorisation of deferment of the payment</w:t>
                      </w:r>
                      <w:r>
                        <w:rPr>
                          <w:color w:val="806000" w:themeColor="accent4" w:themeShade="80"/>
                          <w:sz w:val="18"/>
                        </w:rPr>
                        <w:t>, a</w:t>
                      </w:r>
                      <w:r w:rsidRPr="00A87C3C">
                        <w:rPr>
                          <w:color w:val="806000" w:themeColor="accent4" w:themeShade="80"/>
                          <w:sz w:val="18"/>
                        </w:rPr>
                        <w:t>uthorisation for the simplification of the determination of amounts being part of the customs value of goods</w:t>
                      </w:r>
                      <w:r>
                        <w:rPr>
                          <w:color w:val="806000" w:themeColor="accent4" w:themeShade="80"/>
                          <w:sz w:val="18"/>
                        </w:rPr>
                        <w:t xml:space="preserve">). </w:t>
                      </w:r>
                    </w:p>
                    <w:p w14:paraId="7241193C" w14:textId="77777777" w:rsidR="00A87C3C" w:rsidRDefault="00A87C3C" w:rsidP="00A87C3C">
                      <w:pPr>
                        <w:spacing w:after="0"/>
                        <w:rPr>
                          <w:color w:val="806000" w:themeColor="accent4" w:themeShade="80"/>
                          <w:sz w:val="18"/>
                        </w:rPr>
                      </w:pPr>
                    </w:p>
                    <w:p w14:paraId="2117C418" w14:textId="4C8DAD60" w:rsidR="003A5424" w:rsidRPr="00F201C7" w:rsidRDefault="00A87C3C" w:rsidP="00A87C3C">
                      <w:pPr>
                        <w:spacing w:after="0"/>
                        <w:rPr>
                          <w:color w:val="806000" w:themeColor="accent4" w:themeShade="80"/>
                          <w:sz w:val="18"/>
                        </w:rPr>
                      </w:pPr>
                      <w:r>
                        <w:rPr>
                          <w:color w:val="806000" w:themeColor="accent4" w:themeShade="80"/>
                          <w:sz w:val="18"/>
                        </w:rPr>
                        <w:t xml:space="preserve">Henceforth, the consultation here mentioned is only applicable for the authorisations in </w:t>
                      </w:r>
                      <w:r w:rsidR="00CA2632">
                        <w:rPr>
                          <w:color w:val="806000" w:themeColor="accent4" w:themeShade="80"/>
                          <w:sz w:val="18"/>
                        </w:rPr>
                        <w:t xml:space="preserve">transit and RSS </w:t>
                      </w:r>
                      <w:r>
                        <w:rPr>
                          <w:color w:val="806000" w:themeColor="accent4" w:themeShade="80"/>
                          <w:sz w:val="18"/>
                        </w:rPr>
                        <w:t>groups</w:t>
                      </w:r>
                      <w:r w:rsidR="007D2288">
                        <w:rPr>
                          <w:color w:val="806000" w:themeColor="accent4" w:themeShade="80"/>
                          <w:sz w:val="18"/>
                        </w:rPr>
                        <w:t>.</w:t>
                      </w:r>
                    </w:p>
                  </w:txbxContent>
                </v:textbox>
                <w10:anchorlock/>
              </v:roundrect>
            </w:pict>
          </mc:Fallback>
        </mc:AlternateContent>
      </w:r>
    </w:p>
    <w:p w14:paraId="5EC7FFDB" w14:textId="144945A7" w:rsidR="0067563C" w:rsidRDefault="003F2201" w:rsidP="0067563C">
      <w:pPr>
        <w:keepNext/>
        <w:jc w:val="center"/>
      </w:pPr>
      <w:r>
        <w:object w:dxaOrig="8475" w:dyaOrig="3960" w14:anchorId="1A1E3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5" o:title=""/>
          </v:shape>
          <o:OLEObject Type="Embed" ProgID="Visio.Drawing.11" ShapeID="_x0000_i1025" DrawAspect="Content" ObjectID="_1603285931" r:id="rId16"/>
        </w:object>
      </w:r>
    </w:p>
    <w:p w14:paraId="39AF6C4B" w14:textId="275CDD6E" w:rsidR="0067563C" w:rsidRDefault="0067563C" w:rsidP="0067563C">
      <w:pPr>
        <w:pStyle w:val="Caption"/>
      </w:pPr>
      <w:bookmarkStart w:id="1" w:name="_Ref475015953"/>
      <w:r>
        <w:t xml:space="preserve">Figure </w:t>
      </w:r>
      <w:r w:rsidR="004D230A">
        <w:rPr>
          <w:noProof/>
        </w:rPr>
        <w:fldChar w:fldCharType="begin"/>
      </w:r>
      <w:r w:rsidR="004D230A">
        <w:rPr>
          <w:noProof/>
        </w:rPr>
        <w:instrText xml:space="preserve"> SEQ Figure \* ARABIC </w:instrText>
      </w:r>
      <w:r w:rsidR="004D230A">
        <w:rPr>
          <w:noProof/>
        </w:rPr>
        <w:fldChar w:fldCharType="separate"/>
      </w:r>
      <w:r w:rsidR="00021FC0">
        <w:rPr>
          <w:noProof/>
        </w:rPr>
        <w:t>1</w:t>
      </w:r>
      <w:r w:rsidR="004D230A">
        <w:rPr>
          <w:noProof/>
        </w:rPr>
        <w:fldChar w:fldCharType="end"/>
      </w:r>
      <w:bookmarkEnd w:id="1"/>
      <w:r>
        <w:t xml:space="preserve"> </w:t>
      </w:r>
      <w:r w:rsidRPr="00F57EFC">
        <w:t>High level overview of the Take Decision Process</w:t>
      </w:r>
    </w:p>
    <w:p w14:paraId="50434D78" w14:textId="2EE3DC3D" w:rsidR="007669E1" w:rsidRDefault="007669E1" w:rsidP="007669E1">
      <w:r>
        <w:t>When there are one or more member states involved into the customs decision</w:t>
      </w:r>
      <w:r w:rsidR="00EC66C6">
        <w:t xml:space="preserve"> (in addition to the DTCA)</w:t>
      </w:r>
      <w:r>
        <w:t xml:space="preserve">, the customs officer may consult the conditions and criteria to be verified with the involved member states. </w:t>
      </w:r>
      <w:bookmarkStart w:id="2" w:name="_Hlk480460131"/>
      <w:r>
        <w:t xml:space="preserve">The involved member states are the ones defined by the applicant, in the customs </w:t>
      </w:r>
      <w:r>
        <w:lastRenderedPageBreak/>
        <w:t xml:space="preserve">decision application under </w:t>
      </w:r>
      <w:r w:rsidR="001175EC">
        <w:t xml:space="preserve">data element </w:t>
      </w:r>
      <w:r>
        <w:t>“Geographical Validity”</w:t>
      </w:r>
      <w:bookmarkEnd w:id="2"/>
      <w:r>
        <w:t xml:space="preserve">. For Transit-related authorisations, </w:t>
      </w:r>
      <w:bookmarkStart w:id="3" w:name="_Hlk480460230"/>
      <w:r>
        <w:t xml:space="preserve">the member states </w:t>
      </w:r>
      <w:r w:rsidR="00046442">
        <w:t xml:space="preserve">to be consulted need </w:t>
      </w:r>
      <w:r>
        <w:t>to be selected by the customs officer amongst the list of involved member states</w:t>
      </w:r>
      <w:bookmarkEnd w:id="3"/>
      <w:r>
        <w:t>. For Regular Shipping Service</w:t>
      </w:r>
      <w:r w:rsidR="00046442">
        <w:t xml:space="preserve"> authorisation</w:t>
      </w:r>
      <w:r>
        <w:t xml:space="preserve">, all involved member states </w:t>
      </w:r>
      <w:r w:rsidR="00046442">
        <w:t xml:space="preserve">are </w:t>
      </w:r>
      <w:r>
        <w:t>automatically consulted.</w:t>
      </w:r>
    </w:p>
    <w:p w14:paraId="401405F8" w14:textId="008342A5" w:rsidR="00F201C7" w:rsidRDefault="007669E1" w:rsidP="00F201C7">
      <w:r>
        <w:t xml:space="preserve">The consultation request contains a list of conditions and criteria to be verified and the related time limit to provide the consultation result. </w:t>
      </w:r>
      <w:r w:rsidR="00046442">
        <w:t xml:space="preserve">For </w:t>
      </w:r>
      <w:r w:rsidR="004D230A">
        <w:t>ETD, the time limit is legally fixed to 45 days</w:t>
      </w:r>
      <w:r w:rsidR="00046442">
        <w:t>. For RSS, t</w:t>
      </w:r>
      <w:r>
        <w:t xml:space="preserve">he time limit is </w:t>
      </w:r>
      <w:r w:rsidR="00046442">
        <w:t>fixed to 15 days.</w:t>
      </w:r>
    </w:p>
    <w:p w14:paraId="5AE7AAFC" w14:textId="367E85E8" w:rsidR="00F40D41" w:rsidRDefault="00C82863" w:rsidP="00DA38BA">
      <w:r>
        <w:fldChar w:fldCharType="begin"/>
      </w:r>
      <w:r>
        <w:instrText xml:space="preserve"> REF _Ref475605945 \h </w:instrText>
      </w:r>
      <w:r>
        <w:fldChar w:fldCharType="separate"/>
      </w:r>
      <w:r w:rsidR="00021FC0">
        <w:t xml:space="preserve">Figure </w:t>
      </w:r>
      <w:r w:rsidR="00021FC0">
        <w:rPr>
          <w:noProof/>
        </w:rPr>
        <w:t>2</w:t>
      </w:r>
      <w:r>
        <w:fldChar w:fldCharType="end"/>
      </w:r>
      <w:r w:rsidR="00F40D41">
        <w:t xml:space="preserve"> presents the high-level overview of the Consult Involved Member State</w:t>
      </w:r>
      <w:r w:rsidR="0047073D">
        <w:t>s</w:t>
      </w:r>
      <w:r w:rsidR="00E00E89">
        <w:t xml:space="preserve"> process.</w:t>
      </w:r>
    </w:p>
    <w:p w14:paraId="04976D2D" w14:textId="77777777" w:rsidR="00F40D41" w:rsidRDefault="00F40D41" w:rsidP="00DA38BA"/>
    <w:p w14:paraId="0AD5E6A9" w14:textId="6771568E" w:rsidR="00C82863" w:rsidRDefault="00F51795" w:rsidP="00C82863">
      <w:pPr>
        <w:keepNext/>
        <w:jc w:val="center"/>
      </w:pPr>
      <w:r>
        <w:object w:dxaOrig="8631" w:dyaOrig="5253" w14:anchorId="579BA9AD">
          <v:shape id="_x0000_i1026" type="#_x0000_t75" style="width:431.55pt;height:262.65pt" o:ole="">
            <v:imagedata r:id="rId17" o:title=""/>
          </v:shape>
          <o:OLEObject Type="Embed" ProgID="Visio.Drawing.11" ShapeID="_x0000_i1026" DrawAspect="Content" ObjectID="_1603285932" r:id="rId18"/>
        </w:object>
      </w:r>
    </w:p>
    <w:p w14:paraId="0574E556" w14:textId="1198ED9B" w:rsidR="00F40D41" w:rsidRDefault="00C82863" w:rsidP="00C82863">
      <w:pPr>
        <w:pStyle w:val="Caption"/>
      </w:pPr>
      <w:bookmarkStart w:id="4" w:name="_Ref475605945"/>
      <w:r>
        <w:t xml:space="preserve">Figure </w:t>
      </w:r>
      <w:r w:rsidR="00FF059E">
        <w:rPr>
          <w:noProof/>
        </w:rPr>
        <w:fldChar w:fldCharType="begin"/>
      </w:r>
      <w:r w:rsidR="00FF059E">
        <w:rPr>
          <w:noProof/>
        </w:rPr>
        <w:instrText xml:space="preserve"> SEQ Figure \* ARABIC </w:instrText>
      </w:r>
      <w:r w:rsidR="00FF059E">
        <w:rPr>
          <w:noProof/>
        </w:rPr>
        <w:fldChar w:fldCharType="separate"/>
      </w:r>
      <w:r w:rsidR="00021FC0">
        <w:rPr>
          <w:noProof/>
        </w:rPr>
        <w:t>2</w:t>
      </w:r>
      <w:r w:rsidR="00FF059E">
        <w:rPr>
          <w:noProof/>
        </w:rPr>
        <w:fldChar w:fldCharType="end"/>
      </w:r>
      <w:bookmarkEnd w:id="4"/>
      <w:r>
        <w:t xml:space="preserve"> </w:t>
      </w:r>
      <w:r w:rsidRPr="006A6472">
        <w:t>High level overview of the Consult Involved Member States process</w:t>
      </w:r>
    </w:p>
    <w:p w14:paraId="06FB2C2F" w14:textId="77777777" w:rsidR="00DD27EA" w:rsidRDefault="00DD27EA" w:rsidP="00DD27EA"/>
    <w:p w14:paraId="2C2E76D7" w14:textId="5F23ABB2" w:rsidR="00DD27EA" w:rsidRDefault="00DD27EA" w:rsidP="00DD27EA">
      <w:bookmarkStart w:id="5" w:name="_Hlk480460258"/>
      <w:r>
        <w:t xml:space="preserve">The process starts during the </w:t>
      </w:r>
      <w:r w:rsidR="001F4FA7">
        <w:t>d</w:t>
      </w:r>
      <w:r>
        <w:t>ecision-</w:t>
      </w:r>
      <w:r w:rsidR="001F4FA7">
        <w:t>t</w:t>
      </w:r>
      <w:r>
        <w:t xml:space="preserve">aking process, when the customs officer </w:t>
      </w:r>
      <w:r w:rsidR="0047073D">
        <w:t>needs</w:t>
      </w:r>
      <w:r>
        <w:t xml:space="preserve"> to consult the conditions and criteria with </w:t>
      </w:r>
      <w:r w:rsidR="00E94409">
        <w:t xml:space="preserve">an </w:t>
      </w:r>
      <w:r>
        <w:t xml:space="preserve">involved member </w:t>
      </w:r>
      <w:r w:rsidR="0047073D">
        <w:t>state.</w:t>
      </w:r>
      <w:bookmarkEnd w:id="5"/>
      <w:r w:rsidR="0047073D">
        <w:t xml:space="preserve"> The consultation request</w:t>
      </w:r>
      <w:r>
        <w:t xml:space="preserve"> sent to </w:t>
      </w:r>
      <w:r w:rsidR="00EE234A">
        <w:t xml:space="preserve">the </w:t>
      </w:r>
      <w:r>
        <w:t>customs officer of the involved member state contains the following:</w:t>
      </w:r>
    </w:p>
    <w:p w14:paraId="6FF11A8E" w14:textId="2AB1A748" w:rsidR="00B874AA" w:rsidRDefault="00B874AA" w:rsidP="00B7713A">
      <w:pPr>
        <w:pStyle w:val="ListParagraph"/>
        <w:numPr>
          <w:ilvl w:val="0"/>
          <w:numId w:val="43"/>
        </w:numPr>
        <w:ind w:left="568" w:hanging="284"/>
        <w:contextualSpacing w:val="0"/>
      </w:pPr>
      <w:r>
        <w:t xml:space="preserve">Application reference number to which the consultation result </w:t>
      </w:r>
      <w:r w:rsidR="0047073D">
        <w:t xml:space="preserve">is </w:t>
      </w:r>
      <w:r>
        <w:t>to be provided;</w:t>
      </w:r>
    </w:p>
    <w:p w14:paraId="7EB62822" w14:textId="04F28621" w:rsidR="00DD27EA" w:rsidRDefault="00DD27EA" w:rsidP="00B7713A">
      <w:pPr>
        <w:pStyle w:val="ListParagraph"/>
        <w:numPr>
          <w:ilvl w:val="0"/>
          <w:numId w:val="43"/>
        </w:numPr>
        <w:ind w:left="568" w:hanging="284"/>
        <w:contextualSpacing w:val="0"/>
      </w:pPr>
      <w:r>
        <w:t>Conditions and criteria to be verified;</w:t>
      </w:r>
    </w:p>
    <w:p w14:paraId="67105CC1" w14:textId="03B22170" w:rsidR="00DD27EA" w:rsidRDefault="00DD27EA" w:rsidP="00B7713A">
      <w:pPr>
        <w:pStyle w:val="ListParagraph"/>
        <w:numPr>
          <w:ilvl w:val="0"/>
          <w:numId w:val="43"/>
        </w:numPr>
        <w:ind w:left="568" w:hanging="284"/>
        <w:contextualSpacing w:val="0"/>
      </w:pPr>
      <w:r>
        <w:t>Time limit</w:t>
      </w:r>
      <w:r w:rsidR="000E40E4">
        <w:t xml:space="preserve"> for completion of</w:t>
      </w:r>
      <w:r w:rsidR="002E5311">
        <w:t xml:space="preserve"> the consultation.</w:t>
      </w:r>
    </w:p>
    <w:p w14:paraId="380F2C09" w14:textId="0608B722" w:rsidR="003A5424" w:rsidRDefault="00E94409" w:rsidP="003A5424">
      <w:r>
        <w:t>Once the request is received, t</w:t>
      </w:r>
      <w:r w:rsidR="0053379D">
        <w:t xml:space="preserve">he customs officer of the consulted customs authority </w:t>
      </w:r>
      <w:r>
        <w:t xml:space="preserve">starts checking </w:t>
      </w:r>
      <w:r w:rsidR="0053379D">
        <w:t xml:space="preserve">the </w:t>
      </w:r>
      <w:r>
        <w:t>relevant conditions and criteria</w:t>
      </w:r>
      <w:r w:rsidR="0037302D">
        <w:t>.</w:t>
      </w:r>
    </w:p>
    <w:p w14:paraId="73EC8EF3" w14:textId="0C5D9300" w:rsidR="003A5424" w:rsidRDefault="00A91851" w:rsidP="003A5424">
      <w:r>
        <w:t>There are two possible outcomes f</w:t>
      </w:r>
      <w:r w:rsidR="003A5424">
        <w:t>rom this verification:</w:t>
      </w:r>
    </w:p>
    <w:p w14:paraId="5534E4D5" w14:textId="5FF3B4B3" w:rsidR="003A5424" w:rsidRDefault="003A5424" w:rsidP="00B7713A">
      <w:pPr>
        <w:pStyle w:val="ListParagraph"/>
        <w:numPr>
          <w:ilvl w:val="0"/>
          <w:numId w:val="43"/>
        </w:numPr>
        <w:ind w:left="568" w:hanging="284"/>
        <w:contextualSpacing w:val="0"/>
      </w:pPr>
      <w:r>
        <w:t>The conditions and criteria</w:t>
      </w:r>
      <w:r w:rsidR="00620068">
        <w:t xml:space="preserve"> are met</w:t>
      </w:r>
      <w:r w:rsidR="002E5311">
        <w:t>;</w:t>
      </w:r>
    </w:p>
    <w:p w14:paraId="693B9013" w14:textId="5C3E0F69" w:rsidR="003A5424" w:rsidRDefault="00620068" w:rsidP="00B7713A">
      <w:pPr>
        <w:pStyle w:val="ListParagraph"/>
        <w:numPr>
          <w:ilvl w:val="0"/>
          <w:numId w:val="43"/>
        </w:numPr>
        <w:ind w:left="568" w:hanging="284"/>
        <w:contextualSpacing w:val="0"/>
      </w:pPr>
      <w:r>
        <w:t>A</w:t>
      </w:r>
      <w:r w:rsidR="00A91851">
        <w:t>t least one of the conditions and criteria</w:t>
      </w:r>
      <w:r>
        <w:t xml:space="preserve"> is not met</w:t>
      </w:r>
      <w:r w:rsidR="00A91851">
        <w:t>.</w:t>
      </w:r>
    </w:p>
    <w:p w14:paraId="0C56AB0B" w14:textId="66E7F075" w:rsidR="003A5424" w:rsidRDefault="00D8240E" w:rsidP="00827AD0">
      <w:r>
        <w:t xml:space="preserve">Once the </w:t>
      </w:r>
      <w:r w:rsidR="008A7551">
        <w:t xml:space="preserve">verification is finished, the consultation result </w:t>
      </w:r>
      <w:r w:rsidR="0037302D">
        <w:t xml:space="preserve">– containing the verification of all required checks - </w:t>
      </w:r>
      <w:r w:rsidR="008A7551">
        <w:t xml:space="preserve">is automatically sent </w:t>
      </w:r>
      <w:r w:rsidR="00C91207">
        <w:t xml:space="preserve">back </w:t>
      </w:r>
      <w:r w:rsidR="008A7551">
        <w:t>to the customs officer</w:t>
      </w:r>
      <w:r w:rsidR="00C91207">
        <w:t xml:space="preserve"> of the decision-taking customs authority</w:t>
      </w:r>
      <w:r w:rsidR="008A7551">
        <w:t>.</w:t>
      </w:r>
      <w:r w:rsidR="000600A4">
        <w:t xml:space="preserve"> </w:t>
      </w:r>
    </w:p>
    <w:p w14:paraId="38EEB6F2" w14:textId="6AA6502E" w:rsidR="00C91207" w:rsidRDefault="00C91207" w:rsidP="00827AD0">
      <w:r>
        <w:lastRenderedPageBreak/>
        <w:t>When all the consultations are completed, the customs officer will register the consultation final result (positive or negative) together with a justification. He will then be able to continue the verification of conditions and criteria, supported by the consultation individual results.</w:t>
      </w:r>
    </w:p>
    <w:p w14:paraId="639EEE50" w14:textId="4E1A5A6D" w:rsidR="00760788" w:rsidRDefault="00760788" w:rsidP="00760788">
      <w:pPr>
        <w:spacing w:before="120" w:after="240"/>
      </w:pPr>
      <w:r>
        <w:rPr>
          <w:noProof/>
          <w:lang w:eastAsia="en-GB"/>
        </w:rPr>
        <mc:AlternateContent>
          <mc:Choice Requires="wps">
            <w:drawing>
              <wp:anchor distT="107950" distB="107950" distL="215900" distR="114300" simplePos="0" relativeHeight="251657216" behindDoc="0" locked="0" layoutInCell="1" allowOverlap="1" wp14:anchorId="63296E51" wp14:editId="20F8FB67">
                <wp:simplePos x="0" y="0"/>
                <wp:positionH relativeFrom="column">
                  <wp:posOffset>2900680</wp:posOffset>
                </wp:positionH>
                <wp:positionV relativeFrom="paragraph">
                  <wp:posOffset>133350</wp:posOffset>
                </wp:positionV>
                <wp:extent cx="2908300" cy="838200"/>
                <wp:effectExtent l="19050" t="19050" r="25400"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8382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A5FD09C" w14:textId="3E8684CB" w:rsidR="00760788" w:rsidRPr="006602E5" w:rsidRDefault="00760788" w:rsidP="00760788">
                            <w:pPr>
                              <w:rPr>
                                <w:color w:val="FFFFFF" w:themeColor="background1"/>
                                <w:sz w:val="18"/>
                              </w:rPr>
                            </w:pPr>
                            <w:r w:rsidRPr="006602E5">
                              <w:rPr>
                                <w:noProof/>
                                <w:color w:val="FFFFFF" w:themeColor="background1"/>
                                <w:sz w:val="18"/>
                                <w:lang w:eastAsia="en-GB"/>
                              </w:rPr>
                              <w:drawing>
                                <wp:inline distT="0" distB="0" distL="0" distR="0" wp14:anchorId="4D926884" wp14:editId="04C062E7">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The customs officer of the consulted customs authority can request several exte</w:t>
                            </w:r>
                            <w:r w:rsidR="00902251">
                              <w:rPr>
                                <w:color w:val="FFFFFF" w:themeColor="background1"/>
                                <w:sz w:val="18"/>
                              </w:rPr>
                              <w:t>nsions of the time limit if he</w:t>
                            </w:r>
                            <w:r>
                              <w:rPr>
                                <w:color w:val="FFFFFF" w:themeColor="background1"/>
                                <w:sz w:val="18"/>
                              </w:rPr>
                              <w:t xml:space="preserve"> deems it necessary</w:t>
                            </w:r>
                            <w:r w:rsidRPr="006602E5">
                              <w:rPr>
                                <w:color w:val="FFFFFF" w:themeColor="background1"/>
                                <w:sz w:val="18"/>
                              </w:rPr>
                              <w:t>.</w:t>
                            </w:r>
                          </w:p>
                          <w:p w14:paraId="78D2E46F" w14:textId="77777777" w:rsidR="00760788" w:rsidRPr="006602E5" w:rsidRDefault="00760788" w:rsidP="00760788">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296E51" id="_x0000_s1027" style="position:absolute;left:0;text-align:left;margin-left:228.4pt;margin-top:10.5pt;width:229pt;height:66pt;z-index:251657216;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EhwIAAHMFAAAOAAAAZHJzL2Uyb0RvYy54bWysVNtu2zAMfR+wfxD0vthJb64Rp+jSdRjQ&#10;XdB2H6BIcixUFj1JiZ19/SgpcZutwIBhL4ZEkYeHhzTnV0OryVZap8BUdDrJKZGGg1BmXdHvj7fv&#10;CkqcZ0YwDUZWdCcdvVq8fTPvu1LOoAEtpCUIYlzZdxVtvO/KLHO8kS1zE+ikwccabMs8Xu06E5b1&#10;iN7qbJbn51kPVnQWuHQOrTfpkS4ifl1L7r/WtZOe6IoiNx+/Nn5X4Zst5qxcW9Y1iu9psH9g0TJl&#10;MOkIdcM8Ixur/oBqFbfgoPYTDm0Gda24jDVgNdP8t2oeGtbJWAuK47pRJvf/YPmX7TdLlKjorLig&#10;xLAWm/QoB0/ew0BmQZ++cyW6PXTo6Ac0Y59jra67A/7kiIFlw8xaXlsLfSOZQH7TEJm9CE04LoCs&#10;+s8gMA3beIhAQ23bIB7KQRAd+7QbexOocDTOLvPiJMcnjm/FSYHNjylYeYjurPMfJbQkHCpqYWPE&#10;PQ5ATMG2d84HSqw8+IWMDrQSt0rreLHr1VJbsmVhWPJZfn5IceSmDemDXGcXZ0mGI4wwuHJEYZxL&#10;45Of3rRYd0JH9ok/K9GMI5rMxcGMNOMvEJAi6SMGQeMPRsTZ9UzpdMYYbfaiB533ivudlqE6be5l&#10;jZ0OWiber1NNIkXvEFajOGPgvu/HgdqnZo++IUzGf28MzP+ecYyIWcH4MbhVBuxrAOJpzJz8D9Wn&#10;msP0+WE1xPGOnsGyArHDIbSQdgHuLjw0YH9S0uMeqKj7sWFWUqI/GRzky9gS4uMFx88m6/T0FC+r&#10;g5UZjhAV5d5Ski5LH9dMqMbANY56reIAPnPYs8U/O7Z4v4XC6nh5j17Pu3LxCwAA//8DAFBLAwQU&#10;AAYACAAAACEAPykYC98AAAAKAQAADwAAAGRycy9kb3ducmV2LnhtbEyPwU7DMAyG70i8Q2Qkbixt&#10;abuuNJ0QghsSoiBt3LImNBGNUzXZVt4ec4Kj7U+/v7/ZLm5kJz0H61FAukqAaey9sjgIeH97uqmA&#10;hShRydGjFvCtA2zby4tG1sqf8VWfujgwCsFQSwEmxqnmPPRGOxlWftJIt08/OxlpnAeuZnmmcDfy&#10;LElK7qRF+mDkpB+M7r+6oxPgbbW2Zv+xW2ebx6LjefVSxmchrq+W+ztgUS/xD4ZffVKHlpwO/ogq&#10;sFFAXpSkHgVkKXUiYJPmtDgQWdwmwNuG/6/Q/gAAAP//AwBQSwECLQAUAAYACAAAACEAtoM4kv4A&#10;AADhAQAAEwAAAAAAAAAAAAAAAAAAAAAAW0NvbnRlbnRfVHlwZXNdLnhtbFBLAQItABQABgAIAAAA&#10;IQA4/SH/1gAAAJQBAAALAAAAAAAAAAAAAAAAAC8BAABfcmVscy8ucmVsc1BLAQItABQABgAIAAAA&#10;IQC0K+lEhwIAAHMFAAAOAAAAAAAAAAAAAAAAAC4CAABkcnMvZTJvRG9jLnhtbFBLAQItABQABgAI&#10;AAAAIQA/KRgL3wAAAAoBAAAPAAAAAAAAAAAAAAAAAOEEAABkcnMvZG93bnJldi54bWxQSwUGAAAA&#10;AAQABADzAAAA7QUAAAAA&#10;" fillcolor="#002060" strokecolor="#d9e2f3 [664]" strokeweight="2.25pt">
                <v:stroke joinstyle="miter"/>
                <v:textbox inset="2.5mm,0,,0">
                  <w:txbxContent>
                    <w:p w14:paraId="6A5FD09C" w14:textId="3E8684CB" w:rsidR="00760788" w:rsidRPr="006602E5" w:rsidRDefault="00760788" w:rsidP="00760788">
                      <w:pPr>
                        <w:rPr>
                          <w:color w:val="FFFFFF" w:themeColor="background1"/>
                          <w:sz w:val="18"/>
                        </w:rPr>
                      </w:pPr>
                      <w:r w:rsidRPr="006602E5">
                        <w:rPr>
                          <w:noProof/>
                          <w:color w:val="FFFFFF" w:themeColor="background1"/>
                          <w:sz w:val="18"/>
                          <w:lang w:eastAsia="en-GB"/>
                        </w:rPr>
                        <w:drawing>
                          <wp:inline distT="0" distB="0" distL="0" distR="0" wp14:anchorId="4D926884" wp14:editId="04C062E7">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The customs officer of the consulted customs authority can request several exte</w:t>
                      </w:r>
                      <w:r w:rsidR="00902251">
                        <w:rPr>
                          <w:color w:val="FFFFFF" w:themeColor="background1"/>
                          <w:sz w:val="18"/>
                        </w:rPr>
                        <w:t>nsions of the time limit if he</w:t>
                      </w:r>
                      <w:r>
                        <w:rPr>
                          <w:color w:val="FFFFFF" w:themeColor="background1"/>
                          <w:sz w:val="18"/>
                        </w:rPr>
                        <w:t xml:space="preserve"> deems it necessary</w:t>
                      </w:r>
                      <w:r w:rsidRPr="006602E5">
                        <w:rPr>
                          <w:color w:val="FFFFFF" w:themeColor="background1"/>
                          <w:sz w:val="18"/>
                        </w:rPr>
                        <w:t>.</w:t>
                      </w:r>
                    </w:p>
                    <w:p w14:paraId="78D2E46F" w14:textId="77777777" w:rsidR="00760788" w:rsidRPr="006602E5" w:rsidRDefault="00760788" w:rsidP="00760788">
                      <w:pPr>
                        <w:rPr>
                          <w:sz w:val="18"/>
                        </w:rPr>
                      </w:pPr>
                    </w:p>
                  </w:txbxContent>
                </v:textbox>
                <w10:wrap type="square"/>
              </v:roundrect>
            </w:pict>
          </mc:Fallback>
        </mc:AlternateContent>
      </w:r>
      <w:r>
        <w:t xml:space="preserve">If, while checking the conditions and criteria, the consulted authorities realise that the proposed time limit is not sufficient for verification, the customs officer of the consulted customs authority can request an extension of </w:t>
      </w:r>
      <w:r w:rsidR="00776F60">
        <w:t xml:space="preserve">the </w:t>
      </w:r>
      <w:r>
        <w:t xml:space="preserve">time limit to the decision-taking customs authority. </w:t>
      </w:r>
      <w:r w:rsidR="0037302D">
        <w:t xml:space="preserve">The customs officer of the DTCA will be notified </w:t>
      </w:r>
      <w:r w:rsidR="00902251">
        <w:t>of such a request upon which he</w:t>
      </w:r>
      <w:r w:rsidR="0037302D">
        <w:t xml:space="preserve"> will either approve or reject it.</w:t>
      </w:r>
    </w:p>
    <w:p w14:paraId="21FB7895" w14:textId="64D9A9F8" w:rsidR="0037302D" w:rsidRDefault="0037302D" w:rsidP="0037302D">
      <w:r>
        <w:t xml:space="preserve">If the customs officer approves the time limit extension request, the </w:t>
      </w:r>
      <w:r w:rsidR="0078720A">
        <w:t xml:space="preserve">Customs Decisions </w:t>
      </w:r>
      <w:r w:rsidR="00082251">
        <w:t xml:space="preserve">system </w:t>
      </w:r>
      <w:r>
        <w:t>automatically extends the time limit to consult the member state. The customs officer of the consulted member state will then be notified about the result o</w:t>
      </w:r>
      <w:r w:rsidR="00776F60">
        <w:t>f</w:t>
      </w:r>
      <w:r>
        <w:t xml:space="preserve"> </w:t>
      </w:r>
      <w:r w:rsidR="006C6A4A">
        <w:t xml:space="preserve">the </w:t>
      </w:r>
      <w:r>
        <w:t>time limit extension request. The notification can be one of the following:</w:t>
      </w:r>
    </w:p>
    <w:p w14:paraId="474D9F28" w14:textId="6D221982" w:rsidR="0037302D" w:rsidRDefault="0037302D" w:rsidP="00B7713A">
      <w:pPr>
        <w:pStyle w:val="ListParagraph"/>
        <w:numPr>
          <w:ilvl w:val="0"/>
          <w:numId w:val="43"/>
        </w:numPr>
        <w:ind w:left="568" w:hanging="284"/>
        <w:contextualSpacing w:val="0"/>
      </w:pPr>
      <w:r>
        <w:t xml:space="preserve">The time limit extension request </w:t>
      </w:r>
      <w:r w:rsidR="00046442">
        <w:t>is</w:t>
      </w:r>
      <w:r>
        <w:t xml:space="preserve"> approved. The notification also contains information on the extension (number of days) and the new expiry date for the consultation process;</w:t>
      </w:r>
    </w:p>
    <w:p w14:paraId="07DF8FC3" w14:textId="6E72373E" w:rsidR="0037302D" w:rsidRDefault="0037302D" w:rsidP="00B7713A">
      <w:pPr>
        <w:pStyle w:val="ListParagraph"/>
        <w:numPr>
          <w:ilvl w:val="0"/>
          <w:numId w:val="43"/>
        </w:numPr>
        <w:ind w:left="568" w:hanging="284"/>
        <w:contextualSpacing w:val="0"/>
      </w:pPr>
      <w:r>
        <w:t xml:space="preserve">The time limit extension request </w:t>
      </w:r>
      <w:r w:rsidR="00046442">
        <w:t>is</w:t>
      </w:r>
      <w:r>
        <w:t xml:space="preserve"> rejected. The notification also d</w:t>
      </w:r>
      <w:r w:rsidR="002E5311">
        <w:t>epicts the reason of rejection.</w:t>
      </w:r>
    </w:p>
    <w:p w14:paraId="7D198E06" w14:textId="53DF09D1" w:rsidR="00C6402F" w:rsidRPr="00DD27EA" w:rsidRDefault="00FE2CF9" w:rsidP="00FE2CF9">
      <w:r>
        <w:t xml:space="preserve">When </w:t>
      </w:r>
      <w:r w:rsidRPr="00FE2CF9">
        <w:t xml:space="preserve">no consultation result has been sent </w:t>
      </w:r>
      <w:r>
        <w:t xml:space="preserve">by the consulted member state </w:t>
      </w:r>
      <w:r w:rsidRPr="00FE2CF9">
        <w:t xml:space="preserve">within the time limit, the </w:t>
      </w:r>
      <w:r>
        <w:t xml:space="preserve">conditions and </w:t>
      </w:r>
      <w:r w:rsidRPr="00FE2CF9">
        <w:t>criteria are deemed fulfilled</w:t>
      </w:r>
      <w:r w:rsidR="00046442">
        <w:t xml:space="preserve"> within this consulted MS</w:t>
      </w:r>
      <w:r w:rsidR="002E5311">
        <w:t>.</w:t>
      </w:r>
    </w:p>
    <w:sectPr w:rsidR="00C6402F" w:rsidRPr="00DD27EA" w:rsidSect="0056695E">
      <w:footerReference w:type="default" r:id="rId22"/>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3A5424" w:rsidRDefault="003A5424">
      <w:r>
        <w:separator/>
      </w:r>
    </w:p>
  </w:endnote>
  <w:endnote w:type="continuationSeparator" w:id="0">
    <w:p w14:paraId="2C4045C7" w14:textId="77777777" w:rsidR="003A5424" w:rsidRDefault="003A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OE- Roman">
    <w:altName w:val="Courier New"/>
    <w:charset w:val="00"/>
    <w:family w:val="auto"/>
    <w:pitch w:val="variable"/>
    <w:sig w:usb0="03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72E807E1" w14:textId="3F6BA8C9" w:rsidR="003A5424" w:rsidRDefault="003A5424" w:rsidP="0018007A">
        <w:pPr>
          <w:pStyle w:val="Footer"/>
          <w:jc w:val="center"/>
        </w:pPr>
        <w:r>
          <w:fldChar w:fldCharType="begin"/>
        </w:r>
        <w:r>
          <w:instrText xml:space="preserve"> PAGE   \* MERGEFORMAT </w:instrText>
        </w:r>
        <w:r>
          <w:fldChar w:fldCharType="separate"/>
        </w:r>
        <w:r w:rsidR="00C4139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3A5424" w:rsidRDefault="003A5424">
      <w:r>
        <w:separator/>
      </w:r>
    </w:p>
  </w:footnote>
  <w:footnote w:type="continuationSeparator" w:id="0">
    <w:p w14:paraId="64D1458D" w14:textId="77777777" w:rsidR="003A5424" w:rsidRDefault="003A5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3E5CD97C"/>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50B2D33"/>
    <w:multiLevelType w:val="hybridMultilevel"/>
    <w:tmpl w:val="D90EAC14"/>
    <w:lvl w:ilvl="0" w:tplc="E3C0C3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A76C15"/>
    <w:multiLevelType w:val="hybridMultilevel"/>
    <w:tmpl w:val="52A4D4C0"/>
    <w:lvl w:ilvl="0" w:tplc="AD7020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3">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234BFB"/>
    <w:multiLevelType w:val="hybridMultilevel"/>
    <w:tmpl w:val="3DF4407E"/>
    <w:lvl w:ilvl="0" w:tplc="AD7020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CA188B"/>
    <w:multiLevelType w:val="hybridMultilevel"/>
    <w:tmpl w:val="A15E27F4"/>
    <w:lvl w:ilvl="0" w:tplc="E3C0C3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7">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5">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2"/>
  </w:num>
  <w:num w:numId="4">
    <w:abstractNumId w:val="0"/>
  </w:num>
  <w:num w:numId="5">
    <w:abstractNumId w:val="20"/>
  </w:num>
  <w:num w:numId="6">
    <w:abstractNumId w:val="1"/>
  </w:num>
  <w:num w:numId="7">
    <w:abstractNumId w:val="4"/>
  </w:num>
  <w:num w:numId="8">
    <w:abstractNumId w:val="41"/>
  </w:num>
  <w:num w:numId="9">
    <w:abstractNumId w:val="33"/>
  </w:num>
  <w:num w:numId="10">
    <w:abstractNumId w:val="31"/>
  </w:num>
  <w:num w:numId="11">
    <w:abstractNumId w:val="23"/>
  </w:num>
  <w:num w:numId="12">
    <w:abstractNumId w:val="38"/>
  </w:num>
  <w:num w:numId="13">
    <w:abstractNumId w:val="21"/>
  </w:num>
  <w:num w:numId="14">
    <w:abstractNumId w:val="15"/>
  </w:num>
  <w:num w:numId="15">
    <w:abstractNumId w:val="19"/>
  </w:num>
  <w:num w:numId="16">
    <w:abstractNumId w:val="6"/>
  </w:num>
  <w:num w:numId="17">
    <w:abstractNumId w:val="16"/>
  </w:num>
  <w:num w:numId="18">
    <w:abstractNumId w:val="28"/>
  </w:num>
  <w:num w:numId="19">
    <w:abstractNumId w:val="45"/>
  </w:num>
  <w:num w:numId="20">
    <w:abstractNumId w:val="17"/>
  </w:num>
  <w:num w:numId="21">
    <w:abstractNumId w:val="40"/>
  </w:num>
  <w:num w:numId="22">
    <w:abstractNumId w:val="27"/>
  </w:num>
  <w:num w:numId="23">
    <w:abstractNumId w:val="37"/>
  </w:num>
  <w:num w:numId="24">
    <w:abstractNumId w:val="29"/>
  </w:num>
  <w:num w:numId="25">
    <w:abstractNumId w:val="34"/>
  </w:num>
  <w:num w:numId="26">
    <w:abstractNumId w:val="42"/>
  </w:num>
  <w:num w:numId="27">
    <w:abstractNumId w:val="32"/>
  </w:num>
  <w:num w:numId="28">
    <w:abstractNumId w:val="9"/>
  </w:num>
  <w:num w:numId="29">
    <w:abstractNumId w:val="14"/>
  </w:num>
  <w:num w:numId="30">
    <w:abstractNumId w:val="36"/>
  </w:num>
  <w:num w:numId="31">
    <w:abstractNumId w:val="43"/>
  </w:num>
  <w:num w:numId="32">
    <w:abstractNumId w:val="44"/>
  </w:num>
  <w:num w:numId="33">
    <w:abstractNumId w:val="18"/>
  </w:num>
  <w:num w:numId="34">
    <w:abstractNumId w:val="22"/>
  </w:num>
  <w:num w:numId="35">
    <w:abstractNumId w:val="24"/>
  </w:num>
  <w:num w:numId="36">
    <w:abstractNumId w:val="26"/>
  </w:num>
  <w:num w:numId="37">
    <w:abstractNumId w:val="13"/>
  </w:num>
  <w:num w:numId="38">
    <w:abstractNumId w:val="11"/>
  </w:num>
  <w:num w:numId="39">
    <w:abstractNumId w:val="30"/>
  </w:num>
  <w:num w:numId="40">
    <w:abstractNumId w:val="39"/>
  </w:num>
  <w:num w:numId="41">
    <w:abstractNumId w:val="7"/>
  </w:num>
  <w:num w:numId="42">
    <w:abstractNumId w:val="10"/>
  </w:num>
  <w:num w:numId="43">
    <w:abstractNumId w:val="3"/>
  </w:num>
  <w:num w:numId="44">
    <w:abstractNumId w:val="8"/>
  </w:num>
  <w:num w:numId="45">
    <w:abstractNumId w:val="25"/>
  </w:num>
  <w:num w:numId="46">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3489">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1FC0"/>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442"/>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0A4"/>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251"/>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0EF"/>
    <w:rsid w:val="000B230F"/>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75"/>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0E4"/>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5EC"/>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6FD"/>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07A"/>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2F3"/>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4FA7"/>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A25"/>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67B05"/>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2CA1"/>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50B"/>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311"/>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50F"/>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02D"/>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24"/>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601"/>
    <w:rsid w:val="003E68F2"/>
    <w:rsid w:val="003E7350"/>
    <w:rsid w:val="003F0ED8"/>
    <w:rsid w:val="003F1183"/>
    <w:rsid w:val="003F122A"/>
    <w:rsid w:val="003F1F04"/>
    <w:rsid w:val="003F2201"/>
    <w:rsid w:val="003F238E"/>
    <w:rsid w:val="003F2870"/>
    <w:rsid w:val="003F28A8"/>
    <w:rsid w:val="003F28E5"/>
    <w:rsid w:val="003F2B1B"/>
    <w:rsid w:val="003F379E"/>
    <w:rsid w:val="003F3A3F"/>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65B"/>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3D"/>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46E"/>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0A"/>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8E3"/>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379D"/>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D4F"/>
    <w:rsid w:val="00583F42"/>
    <w:rsid w:val="00584074"/>
    <w:rsid w:val="00584254"/>
    <w:rsid w:val="005842C7"/>
    <w:rsid w:val="00584ED9"/>
    <w:rsid w:val="00584EDD"/>
    <w:rsid w:val="00585693"/>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4D"/>
    <w:rsid w:val="005E75FC"/>
    <w:rsid w:val="005E7B93"/>
    <w:rsid w:val="005F00FF"/>
    <w:rsid w:val="005F096E"/>
    <w:rsid w:val="005F0C27"/>
    <w:rsid w:val="005F0ECE"/>
    <w:rsid w:val="005F1072"/>
    <w:rsid w:val="005F10BE"/>
    <w:rsid w:val="005F204E"/>
    <w:rsid w:val="005F2054"/>
    <w:rsid w:val="005F2C1A"/>
    <w:rsid w:val="005F3499"/>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068"/>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4E3"/>
    <w:rsid w:val="00624542"/>
    <w:rsid w:val="00624765"/>
    <w:rsid w:val="0062529D"/>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63C"/>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D8C"/>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41"/>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4A"/>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788"/>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9E1"/>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6F6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20A"/>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288"/>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461"/>
    <w:rsid w:val="007E6970"/>
    <w:rsid w:val="007E6F97"/>
    <w:rsid w:val="007E7025"/>
    <w:rsid w:val="007E74D1"/>
    <w:rsid w:val="007E7E92"/>
    <w:rsid w:val="007F0056"/>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6F41"/>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6D03"/>
    <w:rsid w:val="00807387"/>
    <w:rsid w:val="00807892"/>
    <w:rsid w:val="0081054B"/>
    <w:rsid w:val="0081085A"/>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AD0"/>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670"/>
    <w:rsid w:val="008A3C4D"/>
    <w:rsid w:val="008A3DBA"/>
    <w:rsid w:val="008A3FFB"/>
    <w:rsid w:val="008A4072"/>
    <w:rsid w:val="008A4143"/>
    <w:rsid w:val="008A422F"/>
    <w:rsid w:val="008A4509"/>
    <w:rsid w:val="008A4F64"/>
    <w:rsid w:val="008A5AD9"/>
    <w:rsid w:val="008A60C5"/>
    <w:rsid w:val="008A62CD"/>
    <w:rsid w:val="008A701F"/>
    <w:rsid w:val="008A7318"/>
    <w:rsid w:val="008A7551"/>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25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8A1"/>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295E"/>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132"/>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5984"/>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6094"/>
    <w:rsid w:val="009E738A"/>
    <w:rsid w:val="009E7BCD"/>
    <w:rsid w:val="009E7E5B"/>
    <w:rsid w:val="009F0401"/>
    <w:rsid w:val="009F06BF"/>
    <w:rsid w:val="009F09D1"/>
    <w:rsid w:val="009F1311"/>
    <w:rsid w:val="009F1430"/>
    <w:rsid w:val="009F17B3"/>
    <w:rsid w:val="009F20CE"/>
    <w:rsid w:val="009F2251"/>
    <w:rsid w:val="009F231C"/>
    <w:rsid w:val="009F2359"/>
    <w:rsid w:val="009F2971"/>
    <w:rsid w:val="009F29FA"/>
    <w:rsid w:val="009F2A69"/>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555"/>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6E54"/>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5E67"/>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C3C"/>
    <w:rsid w:val="00A902B0"/>
    <w:rsid w:val="00A91206"/>
    <w:rsid w:val="00A913CE"/>
    <w:rsid w:val="00A91851"/>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72F"/>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2C34"/>
    <w:rsid w:val="00B62E80"/>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6D44"/>
    <w:rsid w:val="00B7713A"/>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4AA"/>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17C"/>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2CDB"/>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886"/>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396"/>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9A6"/>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40D"/>
    <w:rsid w:val="00C6373C"/>
    <w:rsid w:val="00C63A72"/>
    <w:rsid w:val="00C63B13"/>
    <w:rsid w:val="00C6402F"/>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863"/>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07"/>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2632"/>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AFC"/>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D7C"/>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240E"/>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529"/>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7EA"/>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0FA"/>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0E89"/>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B14"/>
    <w:rsid w:val="00E27E44"/>
    <w:rsid w:val="00E3008D"/>
    <w:rsid w:val="00E301C2"/>
    <w:rsid w:val="00E309DA"/>
    <w:rsid w:val="00E30B37"/>
    <w:rsid w:val="00E30B7D"/>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4F94"/>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C8A"/>
    <w:rsid w:val="00E86F7C"/>
    <w:rsid w:val="00E8717C"/>
    <w:rsid w:val="00E8717E"/>
    <w:rsid w:val="00E903B4"/>
    <w:rsid w:val="00E9067A"/>
    <w:rsid w:val="00E90C7B"/>
    <w:rsid w:val="00E90F8A"/>
    <w:rsid w:val="00E920AA"/>
    <w:rsid w:val="00E93DAA"/>
    <w:rsid w:val="00E93FDD"/>
    <w:rsid w:val="00E94409"/>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6C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34A"/>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1C7"/>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5F79"/>
    <w:rsid w:val="00F36002"/>
    <w:rsid w:val="00F36418"/>
    <w:rsid w:val="00F36D09"/>
    <w:rsid w:val="00F37044"/>
    <w:rsid w:val="00F3730A"/>
    <w:rsid w:val="00F3792F"/>
    <w:rsid w:val="00F37D4A"/>
    <w:rsid w:val="00F37DB7"/>
    <w:rsid w:val="00F37E38"/>
    <w:rsid w:val="00F37F8C"/>
    <w:rsid w:val="00F4062E"/>
    <w:rsid w:val="00F407BF"/>
    <w:rsid w:val="00F4081A"/>
    <w:rsid w:val="00F40D41"/>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795"/>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6B"/>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994"/>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2CF9"/>
    <w:rsid w:val="00FE370F"/>
    <w:rsid w:val="00FE3A41"/>
    <w:rsid w:val="00FE4089"/>
    <w:rsid w:val="00FE44A2"/>
    <w:rsid w:val="00FE46A8"/>
    <w:rsid w:val="00FE4D66"/>
    <w:rsid w:val="00FE5905"/>
    <w:rsid w:val="00FE5FAC"/>
    <w:rsid w:val="00FE618E"/>
    <w:rsid w:val="00FE79CF"/>
    <w:rsid w:val="00FE7AB4"/>
    <w:rsid w:val="00FE7E22"/>
    <w:rsid w:val="00FF059E"/>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6DC7"/>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18007A"/>
    <w:rPr>
      <w:rFonts w:ascii="Arial" w:hAnsi="Arial"/>
      <w:sz w:val="18"/>
      <w:szCs w:val="24"/>
      <w:lang w:eastAsia="en-US"/>
    </w:rPr>
  </w:style>
  <w:style w:type="table" w:customStyle="1" w:styleId="GridTable5Dark-Accent41">
    <w:name w:val="Grid Table 5 Dark - Accent 41"/>
    <w:basedOn w:val="TableNormal"/>
    <w:uiPriority w:val="50"/>
    <w:rsid w:val="007F6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18007A"/>
    <w:rPr>
      <w:rFonts w:ascii="Arial" w:hAnsi="Arial"/>
      <w:sz w:val="18"/>
      <w:szCs w:val="24"/>
      <w:lang w:eastAsia="en-US"/>
    </w:rPr>
  </w:style>
  <w:style w:type="table" w:customStyle="1" w:styleId="GridTable5Dark-Accent41">
    <w:name w:val="Grid Table 5 Dark - Accent 41"/>
    <w:basedOn w:val="TableNormal"/>
    <w:uiPriority w:val="50"/>
    <w:rsid w:val="007F6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67397111">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6472879">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48608619">
      <w:bodyDiv w:val="1"/>
      <w:marLeft w:val="0"/>
      <w:marRight w:val="0"/>
      <w:marTop w:val="0"/>
      <w:marBottom w:val="0"/>
      <w:divBdr>
        <w:top w:val="none" w:sz="0" w:space="0" w:color="auto"/>
        <w:left w:val="none" w:sz="0" w:space="0" w:color="auto"/>
        <w:bottom w:val="none" w:sz="0" w:space="0" w:color="auto"/>
        <w:right w:val="none" w:sz="0" w:space="0" w:color="auto"/>
      </w:divBdr>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file>

<file path=customXml/itemProps2.xml><?xml version="1.0" encoding="utf-8"?>
<ds:datastoreItem xmlns:ds="http://schemas.openxmlformats.org/officeDocument/2006/customXml" ds:itemID="{74F26C07-AACD-4770-85EB-223C0133CA52}"/>
</file>

<file path=customXml/itemProps3.xml><?xml version="1.0" encoding="utf-8"?>
<ds:datastoreItem xmlns:ds="http://schemas.openxmlformats.org/officeDocument/2006/customXml" ds:itemID="{9743151E-BE4C-43FF-88C9-D58AEF3F0157}"/>
</file>

<file path=customXml/itemProps4.xml><?xml version="1.0" encoding="utf-8"?>
<ds:datastoreItem xmlns:ds="http://schemas.openxmlformats.org/officeDocument/2006/customXml" ds:itemID="{9217475C-3DC8-4830-A01D-844273EF43A3}"/>
</file>

<file path=docProps/app.xml><?xml version="1.0" encoding="utf-8"?>
<Properties xmlns="http://schemas.openxmlformats.org/officeDocument/2006/extended-properties" xmlns:vt="http://schemas.openxmlformats.org/officeDocument/2006/docPropsVTypes">
  <Template>Teplate</Template>
  <TotalTime>8684</TotalTime>
  <Pages>3</Pages>
  <Words>601</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4047</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41</cp:revision>
  <cp:lastPrinted>2010-08-20T08:44:00Z</cp:lastPrinted>
  <dcterms:created xsi:type="dcterms:W3CDTF">2017-02-23T07:51:00Z</dcterms:created>
  <dcterms:modified xsi:type="dcterms:W3CDTF">2018-11-09T15:25:00Z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