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5F29B939" w:rsidR="005A195B" w:rsidRPr="00DA38BA" w:rsidRDefault="00A74BF0" w:rsidP="0089040E">
      <w:pPr>
        <w:pStyle w:val="Heading1"/>
      </w:pPr>
      <w:r>
        <w:t xml:space="preserve">Αποδοχή </w:t>
      </w:r>
      <w:bookmarkStart w:id="0" w:name="_GoBack"/>
      <w:bookmarkEnd w:id="0"/>
      <w:r>
        <w:t>αίτησης</w:t>
      </w:r>
    </w:p>
    <w:p w14:paraId="1D0728CD" w14:textId="78B8D302" w:rsidR="004B7F2A" w:rsidRDefault="004B7F2A" w:rsidP="00DA38BA">
      <w:pPr>
        <w:pStyle w:val="Heading2"/>
      </w:pPr>
      <w:r>
        <w:t>Ενδιαφερόμενοι φορείς που εμπλέκονται στη διαδικασία</w:t>
      </w:r>
    </w:p>
    <w:p w14:paraId="6C2AED3C" w14:textId="6CC48CED" w:rsidR="00FD1D04" w:rsidRDefault="00CB1ABC" w:rsidP="00D201DF">
      <w:pPr>
        <w:pStyle w:val="ListParagraph"/>
        <w:numPr>
          <w:ilvl w:val="0"/>
          <w:numId w:val="5"/>
        </w:numPr>
        <w:ind w:left="568" w:hanging="284"/>
        <w:contextualSpacing w:val="0"/>
      </w:pPr>
      <w:r>
        <w:t>Αιτών/συναλλασσόμενος·</w:t>
      </w:r>
    </w:p>
    <w:p w14:paraId="2433F120" w14:textId="0BF8D21F" w:rsidR="00FD1D04" w:rsidRPr="00FD1D04" w:rsidRDefault="00FD1D04" w:rsidP="00D201DF">
      <w:pPr>
        <w:pStyle w:val="ListParagraph"/>
        <w:numPr>
          <w:ilvl w:val="0"/>
          <w:numId w:val="5"/>
        </w:numPr>
        <w:ind w:left="568" w:hanging="284"/>
        <w:contextualSpacing w:val="0"/>
      </w:pPr>
      <w:r>
        <w:t>Αρμόδια για τη λήψη απόφασης τελωνειακή αρχή.</w:t>
      </w:r>
    </w:p>
    <w:p w14:paraId="5DCCA1C6" w14:textId="4D34D8EF" w:rsidR="00DA38BA" w:rsidRDefault="004B7F2A" w:rsidP="00DA38BA">
      <w:pPr>
        <w:pStyle w:val="Heading2"/>
      </w:pPr>
      <w:r>
        <w:t>Ροή εργασιών</w:t>
      </w:r>
    </w:p>
    <w:p w14:paraId="045591E2" w14:textId="65E2B4FC" w:rsidR="00210B5F" w:rsidRDefault="00210B5F" w:rsidP="00210B5F">
      <w:r>
        <w:t>Η αίτηση αποδοχής ξεκινά με την υποβολή από τον συναλλασσόμενο μιας αίτησης τελωνειακής απόφασης. Αυτό είναι το πρώτο βήμα για τη χορήγηση της άδειας.</w:t>
      </w:r>
    </w:p>
    <w:p w14:paraId="4DEC640F" w14:textId="35042E45" w:rsidR="00210B5F" w:rsidRDefault="00210B5F" w:rsidP="00210B5F">
      <w:r>
        <w:t>Από την υψηλού επιπέδου επισκόπηση της διαδικασίας λήψης τελωνειακών αποφάσεων, η αποδοχή ανήκει στο πρώτο μέρος της διαδικασίας, όπως απεικονίζεται στο Σχήμα 1.</w:t>
      </w:r>
    </w:p>
    <w:bookmarkStart w:id="1" w:name="_Ref470097518"/>
    <w:bookmarkStart w:id="2" w:name="_Ref470097512"/>
    <w:p w14:paraId="4E39741C" w14:textId="54F4FA46" w:rsidR="00210B5F" w:rsidRDefault="00D2781F" w:rsidP="00D2781F">
      <w:pPr>
        <w:pStyle w:val="Caption"/>
        <w:keepNext/>
      </w:pPr>
      <w:r>
        <w:object w:dxaOrig="8617" w:dyaOrig="4878" w14:anchorId="7D753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5pt;height:243.9pt" o:ole="">
            <v:imagedata r:id="rId12" o:title=""/>
          </v:shape>
          <o:OLEObject Type="Embed" ProgID="Visio.Drawing.11" ShapeID="_x0000_i1025" DrawAspect="Content" ObjectID="_1611046260" r:id="rId13"/>
        </w:object>
      </w:r>
      <w:r>
        <w:t>Σχήμα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
      <w:r>
        <w:t xml:space="preserve"> Αποδοχή αίτησης, στο πλαίσιο της διαδικασίας λήψης τελωνειακών αποφάσεων</w:t>
      </w:r>
      <w:bookmarkEnd w:id="2"/>
    </w:p>
    <w:p w14:paraId="592A48E3" w14:textId="26543049" w:rsidR="004B7F2A" w:rsidRDefault="009F1B87" w:rsidP="004B7F2A">
      <w:pPr>
        <w:pStyle w:val="Heading3"/>
      </w:pPr>
      <w:r>
        <w:t>Στόχοι και ροή εργασιών</w:t>
      </w:r>
    </w:p>
    <w:p w14:paraId="5F35A2E6" w14:textId="4EF3FA29" w:rsidR="008671BE" w:rsidRDefault="008671BE" w:rsidP="00915508">
      <w:pPr>
        <w:keepNext/>
      </w:pPr>
      <w:r>
        <w:t xml:space="preserve">Μετά την υποβολή της αίτησης και την επικύρωση από το σύστημα τελωνειακών αποφάσεων, αποδίδεται στην αίτηση ένας αυτόματος και μοναδικός </w:t>
      </w:r>
      <w:r>
        <w:rPr>
          <w:i/>
        </w:rPr>
        <w:t>αριθμός αναφοράς της αίτησης</w:t>
      </w:r>
      <w:r>
        <w:t>. Διαρθρώνεται ως ακολούθως:</w:t>
      </w:r>
    </w:p>
    <w:tbl>
      <w:tblPr>
        <w:tblStyle w:val="GridTable5Dark-Accent41"/>
        <w:tblW w:w="0" w:type="auto"/>
        <w:jc w:val="center"/>
        <w:tblLook w:val="0420" w:firstRow="1" w:lastRow="0" w:firstColumn="0" w:lastColumn="0" w:noHBand="0" w:noVBand="1"/>
      </w:tblPr>
      <w:tblGrid>
        <w:gridCol w:w="6423"/>
      </w:tblGrid>
      <w:tr w:rsidR="008671BE" w14:paraId="3FCEB018" w14:textId="77777777" w:rsidTr="006B0A31">
        <w:trPr>
          <w:cnfStyle w:val="100000000000" w:firstRow="1" w:lastRow="0" w:firstColumn="0" w:lastColumn="0" w:oddVBand="0" w:evenVBand="0" w:oddHBand="0" w:evenHBand="0" w:firstRowFirstColumn="0" w:firstRowLastColumn="0" w:lastRowFirstColumn="0" w:lastRowLastColumn="0"/>
          <w:trHeight w:val="454"/>
          <w:jc w:val="center"/>
        </w:trPr>
        <w:tc>
          <w:tcPr>
            <w:tcW w:w="0" w:type="auto"/>
            <w:vAlign w:val="center"/>
          </w:tcPr>
          <w:p w14:paraId="3CBD28B0" w14:textId="77777777" w:rsidR="008671BE" w:rsidRPr="005A41D3" w:rsidRDefault="008671BE" w:rsidP="00CB1ABC">
            <w:pPr>
              <w:keepNext/>
              <w:spacing w:after="0"/>
              <w:jc w:val="center"/>
            </w:pPr>
            <w:r>
              <w:t>[Κωδικός χώρας][κωδικός είδους άδειας][Ελεύθεροι χαρακτήρες]</w:t>
            </w:r>
          </w:p>
        </w:tc>
      </w:tr>
      <w:tr w:rsidR="008671BE" w14:paraId="61C9FEEC" w14:textId="77777777" w:rsidTr="006B0A31">
        <w:trPr>
          <w:cnfStyle w:val="000000100000" w:firstRow="0" w:lastRow="0" w:firstColumn="0" w:lastColumn="0" w:oddVBand="0" w:evenVBand="0" w:oddHBand="1" w:evenHBand="0" w:firstRowFirstColumn="0" w:firstRowLastColumn="0" w:lastRowFirstColumn="0" w:lastRowLastColumn="0"/>
          <w:trHeight w:val="454"/>
          <w:jc w:val="center"/>
        </w:trPr>
        <w:tc>
          <w:tcPr>
            <w:tcW w:w="0" w:type="auto"/>
            <w:vAlign w:val="center"/>
          </w:tcPr>
          <w:p w14:paraId="77465F7C" w14:textId="4E834275" w:rsidR="008671BE" w:rsidRPr="008031EB" w:rsidRDefault="008671BE" w:rsidP="005544DE">
            <w:pPr>
              <w:keepNext/>
              <w:spacing w:after="0"/>
              <w:jc w:val="center"/>
              <w:rPr>
                <w:color w:val="806000" w:themeColor="accent4" w:themeShade="80"/>
              </w:rPr>
            </w:pPr>
            <w:r>
              <w:rPr>
                <w:i/>
                <w:color w:val="806000" w:themeColor="accent4" w:themeShade="80"/>
              </w:rPr>
              <w:t xml:space="preserve">Παράδειγμα: </w:t>
            </w:r>
            <w:r>
              <w:rPr>
                <w:color w:val="806000" w:themeColor="accent4" w:themeShade="80"/>
              </w:rPr>
              <w:t xml:space="preserve">BECGUBE000001-2018-YLC2365 </w:t>
            </w:r>
          </w:p>
        </w:tc>
      </w:tr>
    </w:tbl>
    <w:p w14:paraId="1D458CB6" w14:textId="77777777" w:rsidR="008671BE" w:rsidRDefault="008671BE" w:rsidP="008671BE">
      <w:pPr>
        <w:jc w:val="left"/>
      </w:pPr>
      <w:r>
        <w:t>Όπου:</w:t>
      </w:r>
    </w:p>
    <w:p w14:paraId="1033E7F4" w14:textId="77777777" w:rsidR="008671BE" w:rsidRDefault="008671BE" w:rsidP="00AD5B79">
      <w:pPr>
        <w:pStyle w:val="ListParagraph"/>
        <w:numPr>
          <w:ilvl w:val="0"/>
          <w:numId w:val="6"/>
        </w:numPr>
        <w:ind w:left="568" w:hanging="284"/>
        <w:contextualSpacing w:val="0"/>
        <w:jc w:val="left"/>
      </w:pPr>
      <w:r>
        <w:lastRenderedPageBreak/>
        <w:t xml:space="preserve">ο </w:t>
      </w:r>
      <w:r>
        <w:rPr>
          <w:b/>
        </w:rPr>
        <w:t>κωδικός χώρας</w:t>
      </w:r>
      <w:r>
        <w:t xml:space="preserve"> είναι ο κωδικός ISO της τελωνειακής αρχής που είναι υπεύθυνη για την αίτηση, με δύο χαρακτήρες (στο παράδειγμα «BE» για το Βέλγιο)·</w:t>
      </w:r>
    </w:p>
    <w:p w14:paraId="32563A35" w14:textId="6599AB0F" w:rsidR="008671BE" w:rsidRDefault="008671BE" w:rsidP="00AD5B79">
      <w:pPr>
        <w:pStyle w:val="ListParagraph"/>
        <w:numPr>
          <w:ilvl w:val="0"/>
          <w:numId w:val="6"/>
        </w:numPr>
        <w:ind w:left="568" w:hanging="284"/>
        <w:contextualSpacing w:val="0"/>
        <w:jc w:val="left"/>
      </w:pPr>
      <w:r>
        <w:t xml:space="preserve">ο </w:t>
      </w:r>
      <w:r>
        <w:rPr>
          <w:b/>
        </w:rPr>
        <w:t>κωδικός είδους άδειας</w:t>
      </w:r>
      <w:r>
        <w:t xml:space="preserve"> όπως παρουσιάζεται στο πρώτο έγγραφο </w:t>
      </w:r>
      <w:r>
        <w:rPr>
          <w:i/>
        </w:rPr>
        <w:t>Σύστημα τελωνειακών αποφάσεων - Πεδίο εφαρμογής και αρχιτεκτονική</w:t>
      </w:r>
      <w:r>
        <w:t xml:space="preserve"> (στο παράδειγμα: CGU, ο οποίος σημαίνει άδεια για τη χρησιμοποίηση συνολικής εγγύησης συμπεριλαμβανομένης της απαλλαγής από την υποχρέωση σύστασης εγγύησης)·</w:t>
      </w:r>
    </w:p>
    <w:p w14:paraId="3103D06E" w14:textId="426CEE28" w:rsidR="008671BE" w:rsidRDefault="008671BE" w:rsidP="00AD5B79">
      <w:pPr>
        <w:pStyle w:val="ListParagraph"/>
        <w:numPr>
          <w:ilvl w:val="0"/>
          <w:numId w:val="6"/>
        </w:numPr>
        <w:ind w:left="568" w:hanging="284"/>
        <w:contextualSpacing w:val="0"/>
        <w:jc w:val="left"/>
      </w:pPr>
      <w:r>
        <w:t xml:space="preserve">Οι </w:t>
      </w:r>
      <w:r>
        <w:rPr>
          <w:b/>
        </w:rPr>
        <w:t>ελεύθεροι χαρακτήρες</w:t>
      </w:r>
      <w:r>
        <w:t xml:space="preserve"> δημιουργούνται αυτομάτως (μέγιστο 29 χαρακτήρες, στο παράδειγμα BE000001-2018-YLC2365). Από προεπιλογή, το CDMS χρησιμοποιεί τον ακόλουθο αλγόριθμο για τον καθορισμό των ελεύθερων χαρακτήρων: </w:t>
      </w:r>
    </w:p>
    <w:p w14:paraId="45F00D79" w14:textId="18ABD16F" w:rsidR="00F63582" w:rsidRDefault="00F63582" w:rsidP="00F63582">
      <w:pPr>
        <w:pStyle w:val="ListParagraph"/>
        <w:numPr>
          <w:ilvl w:val="1"/>
          <w:numId w:val="6"/>
        </w:numPr>
        <w:contextualSpacing w:val="0"/>
        <w:jc w:val="left"/>
      </w:pPr>
      <w:r>
        <w:t>DTCA·</w:t>
      </w:r>
    </w:p>
    <w:p w14:paraId="54FF1E48" w14:textId="128E3C96" w:rsidR="00066FF2" w:rsidRDefault="00066FF2" w:rsidP="00F63582">
      <w:pPr>
        <w:pStyle w:val="ListParagraph"/>
        <w:numPr>
          <w:ilvl w:val="1"/>
          <w:numId w:val="6"/>
        </w:numPr>
        <w:contextualSpacing w:val="0"/>
        <w:jc w:val="left"/>
      </w:pPr>
      <w:r>
        <w:t>Χαρακτήρας παύλας («-»)·</w:t>
      </w:r>
    </w:p>
    <w:p w14:paraId="76615F77" w14:textId="75B6EEE0" w:rsidR="00066FF2" w:rsidRDefault="00066FF2" w:rsidP="00F63582">
      <w:pPr>
        <w:pStyle w:val="ListParagraph"/>
        <w:numPr>
          <w:ilvl w:val="1"/>
          <w:numId w:val="6"/>
        </w:numPr>
        <w:contextualSpacing w:val="0"/>
        <w:jc w:val="left"/>
      </w:pPr>
      <w:r>
        <w:t>Τρέχον έτος·</w:t>
      </w:r>
    </w:p>
    <w:p w14:paraId="119B8F88" w14:textId="05F703E9" w:rsidR="00066FF2" w:rsidRDefault="00066FF2" w:rsidP="00F63582">
      <w:pPr>
        <w:pStyle w:val="ListParagraph"/>
        <w:numPr>
          <w:ilvl w:val="1"/>
          <w:numId w:val="6"/>
        </w:numPr>
        <w:contextualSpacing w:val="0"/>
        <w:jc w:val="left"/>
      </w:pPr>
      <w:r>
        <w:t>Χαρακτήρας παύλας («-»)·</w:t>
      </w:r>
    </w:p>
    <w:p w14:paraId="5992BACB" w14:textId="705DB0EC" w:rsidR="00066FF2" w:rsidRDefault="00066FF2" w:rsidP="00F63582">
      <w:pPr>
        <w:pStyle w:val="ListParagraph"/>
        <w:numPr>
          <w:ilvl w:val="1"/>
          <w:numId w:val="6"/>
        </w:numPr>
        <w:contextualSpacing w:val="0"/>
        <w:jc w:val="left"/>
      </w:pPr>
      <w:r>
        <w:t>3 τυχαία γράμματα·</w:t>
      </w:r>
    </w:p>
    <w:p w14:paraId="0389548D" w14:textId="55593F2D" w:rsidR="00066FF2" w:rsidRDefault="00066FF2" w:rsidP="00D97693">
      <w:pPr>
        <w:pStyle w:val="ListParagraph"/>
        <w:numPr>
          <w:ilvl w:val="1"/>
          <w:numId w:val="6"/>
        </w:numPr>
        <w:contextualSpacing w:val="0"/>
        <w:jc w:val="left"/>
      </w:pPr>
      <w:r>
        <w:t>Αύξων αριθμός.</w:t>
      </w:r>
    </w:p>
    <w:p w14:paraId="3BB45A27" w14:textId="77777777" w:rsidR="008671BE" w:rsidRDefault="008671BE" w:rsidP="00210B5F"/>
    <w:p w14:paraId="7D744F98" w14:textId="61086D36" w:rsidR="00210B5F" w:rsidRDefault="009F1B87" w:rsidP="00210B5F">
      <w:r>
        <w:t>Ως κύριος στόχος της διαδικασίας αποδοχής, η αίτηση αναλύεται στη συνέχεια από τις τελωνειακές αρχές και, με βάση μια πρώτη σειρά ελέγχων (προϋποθέσεις αποδοχής), ο τελωνειακός υπάλληλος κρίνει εάν η αίτηση μπορεί να γίνει αποδεκτή ή όχι.</w:t>
      </w:r>
    </w:p>
    <w:p w14:paraId="721E6A29" w14:textId="065D2264" w:rsidR="00210B5F" w:rsidRDefault="00210B5F" w:rsidP="00210B5F">
      <w:r>
        <w:t>Σε περίπτωση αποδοχής της αίτησης, ο τελωνειακός υπάλληλος συνεχίζει την ανάλυση διευκρινίζοντας περαιτέρω εάν ο αιτών και η αίτηση πληρούν τα κριτήρια για τη χορήγηση άδειας. Αυτό το περαιτέρω βήμα περιγράφεται σε ένα επόμενο κεφάλαιο (Διαδικασία λήψης απόφασης).</w:t>
      </w:r>
    </w:p>
    <w:p w14:paraId="0B0773AB" w14:textId="41F2D0F0" w:rsidR="009F1B87" w:rsidRDefault="009F1B87" w:rsidP="00210B5F">
      <w:r>
        <w:t>Εάν η αίτηση δεν γίνει αποδεκτή, η διαδικασία διακόπτεται και ο συναλλασσόμενος ενημερώνεται σχετικά με τις προϋποθέσεις που δεν πληρούσε. Ωστόσο, δύναται να υποβάλει νέα αίτηση.</w:t>
      </w:r>
    </w:p>
    <w:p w14:paraId="13A9F1F0" w14:textId="77777777" w:rsidR="00C25F55" w:rsidRDefault="00C25F55" w:rsidP="00C25F55">
      <w:pPr>
        <w:pStyle w:val="Heading3"/>
      </w:pPr>
      <w:bookmarkStart w:id="3" w:name="_Toc470105770"/>
      <w:r>
        <w:t>Προϋποθέσεις αποδοχής</w:t>
      </w:r>
      <w:bookmarkEnd w:id="3"/>
    </w:p>
    <w:p w14:paraId="77F4CCA9" w14:textId="77777777" w:rsidR="00530E6B" w:rsidRDefault="00C25F55" w:rsidP="00C25F55">
      <w:r>
        <w:t xml:space="preserve">Όπως προαναφέρθηκε, οι τελωνειακές αρχές διενεργούν αρκετούς ελέγχους για να αποδεχθούν την αίτηση. Επιπλέον, το σύστημα επαληθεύει αυτόματα εάν κάποιες από τις προϋποθέσεις επικυρώνονται, με βάση το περιεχόμενο της αίτησης. </w:t>
      </w:r>
    </w:p>
    <w:p w14:paraId="449A0119" w14:textId="351751BC" w:rsidR="00530E6B" w:rsidRDefault="00C25F55" w:rsidP="00E64AD1">
      <w:r>
        <w:t xml:space="preserve">Αυτοί οι έλεγχοι θα διαφέρουν ανάλογα με το είδος της άδειας. Δεν διενεργούνται όλοι οι έλεγχοι για όλα τα είδη αδειών. Η ενότητα </w:t>
      </w:r>
      <w:r>
        <w:fldChar w:fldCharType="begin"/>
      </w:r>
      <w:r>
        <w:instrText xml:space="preserve"> REF _Ref470163088 \w \h </w:instrText>
      </w:r>
      <w:r>
        <w:fldChar w:fldCharType="separate"/>
      </w:r>
      <w:r>
        <w:t>2.3</w:t>
      </w:r>
      <w:r>
        <w:fldChar w:fldCharType="end"/>
      </w:r>
      <w:r>
        <w:t xml:space="preserve"> περιγράφει τους ελέγχους που πρέπει να διενεργηθούν.</w:t>
      </w:r>
    </w:p>
    <w:p w14:paraId="366361B3" w14:textId="4D9CD0DC" w:rsidR="00C25F55" w:rsidRDefault="00C25F55" w:rsidP="00C25F55">
      <w:r>
        <w:t>Κατά την καταγραφή του κατά πόσο πληρούνται ή όχι οι προϋποθέσεις αποδοχής, ο τελωνειακός υπάλληλος θα πρέπει - για κάθε έλεγχο - να αναφέρει ένα από τα ακόλουθα αποτελέσματα:</w:t>
      </w:r>
    </w:p>
    <w:tbl>
      <w:tblPr>
        <w:tblStyle w:val="GridTable5Dark-Accent41"/>
        <w:tblW w:w="0" w:type="auto"/>
        <w:jc w:val="center"/>
        <w:tblLook w:val="0420" w:firstRow="1" w:lastRow="0" w:firstColumn="0" w:lastColumn="0" w:noHBand="0" w:noVBand="1"/>
      </w:tblPr>
      <w:tblGrid>
        <w:gridCol w:w="2221"/>
      </w:tblGrid>
      <w:tr w:rsidR="00C25F55" w14:paraId="4A206539" w14:textId="77777777" w:rsidTr="006B0A31">
        <w:trPr>
          <w:cnfStyle w:val="100000000000" w:firstRow="1" w:lastRow="0" w:firstColumn="0" w:lastColumn="0" w:oddVBand="0" w:evenVBand="0" w:oddHBand="0" w:evenHBand="0" w:firstRowFirstColumn="0" w:firstRowLastColumn="0" w:lastRowFirstColumn="0" w:lastRowLastColumn="0"/>
          <w:trHeight w:val="454"/>
          <w:jc w:val="center"/>
        </w:trPr>
        <w:tc>
          <w:tcPr>
            <w:tcW w:w="0" w:type="auto"/>
            <w:vAlign w:val="center"/>
          </w:tcPr>
          <w:p w14:paraId="1DA7D198" w14:textId="77777777" w:rsidR="00C25F55" w:rsidRDefault="00C25F55" w:rsidP="00D7267E">
            <w:pPr>
              <w:spacing w:after="0"/>
              <w:jc w:val="center"/>
            </w:pPr>
            <w:r>
              <w:t>Αποτέλεσμα ελέγχου</w:t>
            </w:r>
          </w:p>
        </w:tc>
      </w:tr>
      <w:tr w:rsidR="00C25F55" w14:paraId="168EBB3E" w14:textId="77777777" w:rsidTr="006B0A31">
        <w:trPr>
          <w:cnfStyle w:val="000000100000" w:firstRow="0" w:lastRow="0" w:firstColumn="0" w:lastColumn="0" w:oddVBand="0" w:evenVBand="0" w:oddHBand="1" w:evenHBand="0" w:firstRowFirstColumn="0" w:firstRowLastColumn="0" w:lastRowFirstColumn="0" w:lastRowLastColumn="0"/>
          <w:trHeight w:val="454"/>
          <w:jc w:val="center"/>
        </w:trPr>
        <w:tc>
          <w:tcPr>
            <w:tcW w:w="0" w:type="auto"/>
            <w:vAlign w:val="center"/>
          </w:tcPr>
          <w:p w14:paraId="57D80D9A" w14:textId="67F95E67" w:rsidR="00C25F55" w:rsidRPr="008031EB" w:rsidRDefault="00AF5BC8" w:rsidP="00D7267E">
            <w:pPr>
              <w:spacing w:after="0"/>
              <w:jc w:val="center"/>
              <w:rPr>
                <w:color w:val="806000" w:themeColor="accent4" w:themeShade="80"/>
              </w:rPr>
            </w:pPr>
            <w:r>
              <w:rPr>
                <w:color w:val="806000" w:themeColor="accent4" w:themeShade="80"/>
              </w:rPr>
              <w:t>Ναι</w:t>
            </w:r>
          </w:p>
        </w:tc>
      </w:tr>
      <w:tr w:rsidR="00C25F55" w14:paraId="5305D1D7" w14:textId="77777777" w:rsidTr="006B0A31">
        <w:trPr>
          <w:trHeight w:val="454"/>
          <w:jc w:val="center"/>
        </w:trPr>
        <w:tc>
          <w:tcPr>
            <w:tcW w:w="0" w:type="auto"/>
            <w:vAlign w:val="center"/>
          </w:tcPr>
          <w:p w14:paraId="7CB1FB62" w14:textId="64A78882" w:rsidR="00C25F55" w:rsidRPr="008031EB" w:rsidRDefault="00AF5BC8" w:rsidP="00D7267E">
            <w:pPr>
              <w:spacing w:after="0"/>
              <w:jc w:val="center"/>
              <w:rPr>
                <w:color w:val="806000" w:themeColor="accent4" w:themeShade="80"/>
              </w:rPr>
            </w:pPr>
            <w:r>
              <w:rPr>
                <w:color w:val="806000" w:themeColor="accent4" w:themeShade="80"/>
              </w:rPr>
              <w:t>Όχι</w:t>
            </w:r>
          </w:p>
        </w:tc>
      </w:tr>
      <w:tr w:rsidR="00C25F55" w14:paraId="1710C347" w14:textId="77777777" w:rsidTr="006B0A31">
        <w:trPr>
          <w:cnfStyle w:val="000000100000" w:firstRow="0" w:lastRow="0" w:firstColumn="0" w:lastColumn="0" w:oddVBand="0" w:evenVBand="0" w:oddHBand="1" w:evenHBand="0" w:firstRowFirstColumn="0" w:firstRowLastColumn="0" w:lastRowFirstColumn="0" w:lastRowLastColumn="0"/>
          <w:trHeight w:val="454"/>
          <w:jc w:val="center"/>
        </w:trPr>
        <w:tc>
          <w:tcPr>
            <w:tcW w:w="0" w:type="auto"/>
            <w:vAlign w:val="center"/>
          </w:tcPr>
          <w:p w14:paraId="21500D09" w14:textId="77777777" w:rsidR="00C25F55" w:rsidRPr="008031EB" w:rsidRDefault="00C25F55" w:rsidP="00D7267E">
            <w:pPr>
              <w:keepNext/>
              <w:spacing w:after="0"/>
              <w:jc w:val="center"/>
              <w:rPr>
                <w:color w:val="806000" w:themeColor="accent4" w:themeShade="80"/>
              </w:rPr>
            </w:pPr>
            <w:r>
              <w:rPr>
                <w:color w:val="806000" w:themeColor="accent4" w:themeShade="80"/>
              </w:rPr>
              <w:t>Αναβάλλεται</w:t>
            </w:r>
          </w:p>
        </w:tc>
      </w:tr>
    </w:tbl>
    <w:p w14:paraId="0060C1F2" w14:textId="58FDD3A8" w:rsidR="00210B5F" w:rsidRDefault="009A6C55" w:rsidP="009A6C55">
      <w:pPr>
        <w:pStyle w:val="Caption"/>
      </w:pPr>
      <w:r>
        <w:t>Πίνακας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Πιθανές τιμές για το αποτέλεσμα του ελέγχου των προϋποθέσεων αποδοχής</w:t>
      </w:r>
    </w:p>
    <w:p w14:paraId="77A932EC" w14:textId="716895DD" w:rsidR="008671BE" w:rsidRDefault="008671BE" w:rsidP="00210B5F">
      <w:r>
        <w:t xml:space="preserve">Όπου: </w:t>
      </w:r>
    </w:p>
    <w:p w14:paraId="544A348C" w14:textId="0A2CBD12" w:rsidR="008671BE" w:rsidRDefault="00AF5BC8" w:rsidP="00AD5B79">
      <w:pPr>
        <w:pStyle w:val="ListParagraph"/>
        <w:numPr>
          <w:ilvl w:val="0"/>
          <w:numId w:val="6"/>
        </w:numPr>
        <w:ind w:left="568" w:hanging="284"/>
        <w:contextualSpacing w:val="0"/>
      </w:pPr>
      <w:r>
        <w:rPr>
          <w:b/>
        </w:rPr>
        <w:t>Ναι</w:t>
      </w:r>
      <w:r>
        <w:t>: ο έλεγχος αποδεικνύεται ότι επαληθεύτηκε·</w:t>
      </w:r>
    </w:p>
    <w:p w14:paraId="1B26AB0C" w14:textId="715E06D8" w:rsidR="008671BE" w:rsidRDefault="00AF5BC8" w:rsidP="00AD5B79">
      <w:pPr>
        <w:pStyle w:val="ListParagraph"/>
        <w:numPr>
          <w:ilvl w:val="0"/>
          <w:numId w:val="6"/>
        </w:numPr>
        <w:ind w:left="568" w:hanging="284"/>
        <w:contextualSpacing w:val="0"/>
      </w:pPr>
      <w:r>
        <w:rPr>
          <w:b/>
        </w:rPr>
        <w:t>Όχι</w:t>
      </w:r>
      <w:r>
        <w:t>: ο έλεγχος δεν αποδεικνύεται ότι επαληθεύτηκε·</w:t>
      </w:r>
    </w:p>
    <w:p w14:paraId="7236BB67" w14:textId="74B5B59A" w:rsidR="008671BE" w:rsidRDefault="008671BE" w:rsidP="00AD5B79">
      <w:pPr>
        <w:pStyle w:val="ListParagraph"/>
        <w:numPr>
          <w:ilvl w:val="0"/>
          <w:numId w:val="6"/>
        </w:numPr>
        <w:ind w:left="568" w:hanging="284"/>
        <w:contextualSpacing w:val="0"/>
      </w:pPr>
      <w:r>
        <w:rPr>
          <w:b/>
        </w:rPr>
        <w:lastRenderedPageBreak/>
        <w:t>Αναβάλλεται</w:t>
      </w:r>
      <w:r>
        <w:t>: ο έλεγχος δεν μπορεί ακόμη να θεωρηθεί θετικός ούτε αρνητικός. Μπορεί να απαιτούνται συμπληρωματικές πληροφορίες.</w:t>
      </w:r>
    </w:p>
    <w:p w14:paraId="2738F1D2" w14:textId="77777777" w:rsidR="008671BE" w:rsidRDefault="008671BE" w:rsidP="00210B5F"/>
    <w:p w14:paraId="55D63CA5" w14:textId="1B5E5CFF" w:rsidR="00DF479B" w:rsidRDefault="00DF479B" w:rsidP="00210B5F">
      <w:r>
        <w:t>Όλοι οι έλεγχοι αποτελεσμάτων πρέπει να απαντηθούν από τις τελωνειακές αρχές εντός 30 ημερολογιακών ημερών. Πέρα από τη συγκεκριμένη προθεσμία, η αίτηση θα γίνει αυτομάτως αποδεκτή.</w:t>
      </w:r>
    </w:p>
    <w:p w14:paraId="38485644" w14:textId="7F6CD93D" w:rsidR="009F1B87" w:rsidRPr="00210B5F" w:rsidRDefault="009F1B87" w:rsidP="00210B5F">
      <w:r>
        <w:t>Επιπλέον, πρέπει να σημειωθεί ότι θα πρέπει να πληρούνται όλες οι προϋποθέσεις για την αποδοχή της αίτησης. Εάν δεν πληρούται έστω και μία μόνο προϋπόθεση στο τέλος της διαδικασίας, η αίτηση δεν θα γίνει αποδεκτή. Ωστόσο, για λόγους ιχνηλασιμότητας, αξίζει να σημειωθεί ότι, ακόμη και αν ο πρώτος έλεγχος που έχει καταχωριστεί από το σύστημα ή από τον τελωνειακό υπάλληλο είναι αρνητικός, θα πρέπει να ελέγχονται όλες οι προϋποθέσεις αποδοχής από τον τελωνειακό υπάλληλο, έτσι ώστε ο συναλλασσόμενος να λάβει πλήρη αναπληροφόρηση (με αναφορά όλων των αρνητικών ελέγχων) σε περίπτωση που η αίτηση δεν γίνει αποδεκτή.</w:t>
      </w:r>
    </w:p>
    <w:p w14:paraId="0E67083E" w14:textId="744F4F3A" w:rsidR="00DA38BA" w:rsidRDefault="00A74BF0" w:rsidP="004B7F2A">
      <w:pPr>
        <w:pStyle w:val="Heading3"/>
      </w:pPr>
      <w:r>
        <w:t>Αίτηση παροχής συμπληρωματικών πληροφοριών</w:t>
      </w:r>
    </w:p>
    <w:p w14:paraId="7634F09B" w14:textId="24792D1F" w:rsidR="00C25F55" w:rsidRDefault="00C25F55" w:rsidP="00C25F55">
      <w:r>
        <w:t>Όταν οι τελωνειακές αρχές κρίνουν ότι η αίτηση δεν περιέχει όλες τις απαιτούμενες πληροφορίες, μπορούν να ζητήσουν από τον συναλλασσόμενο να παράσχει τις εν λόγω συμπληρωματικές πληροφορίες.</w:t>
      </w:r>
    </w:p>
    <w:p w14:paraId="67FF4E7C" w14:textId="0A62A0F9" w:rsidR="00C25F55" w:rsidRDefault="00C25F55" w:rsidP="00C25F55">
      <w:r>
        <w:t>Προς τον σκοπό αυτό, ο τελωνειακός υπάλληλος πρέπει να αναφέρει τα ακόλουθα κατά την καταχώριση των αποτελεσμάτων των ελέγχων:</w:t>
      </w:r>
    </w:p>
    <w:p w14:paraId="06F853ED" w14:textId="77777777" w:rsidR="00DF479B" w:rsidRPr="00210B5F" w:rsidRDefault="00DF479B" w:rsidP="00DF479B"/>
    <w:tbl>
      <w:tblPr>
        <w:tblStyle w:val="GridTable5Dark-Accent41"/>
        <w:tblW w:w="0" w:type="auto"/>
        <w:jc w:val="center"/>
        <w:tblLook w:val="0420" w:firstRow="1" w:lastRow="0" w:firstColumn="0" w:lastColumn="0" w:noHBand="0" w:noVBand="1"/>
      </w:tblPr>
      <w:tblGrid>
        <w:gridCol w:w="5967"/>
        <w:gridCol w:w="1010"/>
      </w:tblGrid>
      <w:tr w:rsidR="00DF479B" w14:paraId="12C73040" w14:textId="77777777" w:rsidTr="00D7267E">
        <w:trPr>
          <w:cnfStyle w:val="100000000000" w:firstRow="1" w:lastRow="0" w:firstColumn="0" w:lastColumn="0" w:oddVBand="0" w:evenVBand="0" w:oddHBand="0" w:evenHBand="0" w:firstRowFirstColumn="0" w:firstRowLastColumn="0" w:lastRowFirstColumn="0" w:lastRowLastColumn="0"/>
          <w:trHeight w:val="454"/>
          <w:jc w:val="center"/>
        </w:trPr>
        <w:tc>
          <w:tcPr>
            <w:tcW w:w="0" w:type="auto"/>
            <w:tcBorders>
              <w:right w:val="single" w:sz="12" w:space="0" w:color="FFC000" w:themeColor="accent4"/>
            </w:tcBorders>
            <w:vAlign w:val="center"/>
          </w:tcPr>
          <w:p w14:paraId="7FB851AF" w14:textId="76549BE3" w:rsidR="00DF479B" w:rsidRDefault="00DF479B" w:rsidP="00BA3F4E">
            <w:pPr>
              <w:keepNext/>
              <w:spacing w:after="0"/>
              <w:jc w:val="center"/>
            </w:pPr>
            <w:r>
              <w:t>Η αίτηση περιλαμβάνει όλες τις απαιτούμενες πληροφορίες:</w:t>
            </w:r>
          </w:p>
        </w:tc>
        <w:tc>
          <w:tcPr>
            <w:tcW w:w="0" w:type="auto"/>
            <w:tcBorders>
              <w:left w:val="single" w:sz="12" w:space="0" w:color="FFC000" w:themeColor="accent4"/>
            </w:tcBorders>
            <w:vAlign w:val="center"/>
          </w:tcPr>
          <w:p w14:paraId="5D229551" w14:textId="77777777" w:rsidR="00DF479B" w:rsidRPr="005A41D3" w:rsidRDefault="00DF479B" w:rsidP="00BA3F4E">
            <w:pPr>
              <w:keepNext/>
              <w:spacing w:after="0"/>
              <w:jc w:val="center"/>
              <w:rPr>
                <w:b w:val="0"/>
              </w:rPr>
            </w:pPr>
            <w:r>
              <w:rPr>
                <w:b w:val="0"/>
                <w:color w:val="806000" w:themeColor="accent4" w:themeShade="80"/>
              </w:rPr>
              <w:t>Αρνητικό</w:t>
            </w:r>
          </w:p>
        </w:tc>
      </w:tr>
    </w:tbl>
    <w:p w14:paraId="77A0B0BE" w14:textId="22A84050" w:rsidR="00DF479B" w:rsidRDefault="009A6C55" w:rsidP="009A6C55">
      <w:pPr>
        <w:pStyle w:val="Caption"/>
      </w:pPr>
      <w:r>
        <w:t>Πίνακας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xml:space="preserve"> Αποτέλεσμα των προϋποθέσεων αποδοχής που πρέπει να συμπληρωθεί όταν ζητούνται συμπληρωματικές πληροφορίες</w:t>
      </w:r>
    </w:p>
    <w:p w14:paraId="7F43E2D0" w14:textId="77777777" w:rsidR="009A6C55" w:rsidRPr="009A6C55" w:rsidRDefault="009A6C55" w:rsidP="009A6C55"/>
    <w:p w14:paraId="11F7B465" w14:textId="239C04F7" w:rsidR="00DF479B" w:rsidRDefault="00DF479B" w:rsidP="00C25F55">
      <w:r>
        <w:t>Μετά τη συγκεκριμένη καταχώριση, θα πρέπει να υποδείξει τους ελέγχους για τους οποίους απαιτούνται συμπληρωματικές πληροφορίες. Συνεπώς, ο συναλλασσόμενος θα κληθεί να παράσχει τις σχετικές πληροφορίες εντός ορισμένης προθεσμίας που καθορίζεται από τον τελωνειακό υπάλληλο (κατά την καταχώριση της αίτησης για συμπληρωματικές πληροφορίες).</w:t>
      </w:r>
    </w:p>
    <w:p w14:paraId="1B9DD96E" w14:textId="2029CA3D" w:rsidR="00DF479B" w:rsidRDefault="00EB18F6" w:rsidP="00C25F55">
      <w:r>
        <w:t>Η προθεσμία για την αποδοχή της αίτησης - που επιβάλλεται στον τελωνειακό υπάλληλο - παρατείνεται σύμφωνα με την προθεσμία για την υποβολή των συμπληρωματικών πληροφοριών.</w:t>
      </w:r>
    </w:p>
    <w:p w14:paraId="2D3D4468" w14:textId="71F9D266" w:rsidR="00DF479B" w:rsidRDefault="00DF479B" w:rsidP="00C25F55">
      <w:r>
        <w:t>Εάν ο συναλλασσόμενος δεν υποβάλει τις ζητούμενες πληροφορίες εντός της προθεσμίας που του έχει επιβληθεί, η αίτηση απορρίπτεται αυτομάτως. Εάν τις υποβάλει, οι τελωνειακές αρχές τις αναλύουν και αξιολογούν εκ νέου το αποτέλεσμα των ελέγχων.</w:t>
      </w:r>
    </w:p>
    <w:p w14:paraId="62215673" w14:textId="77777777" w:rsidR="00DF479B" w:rsidRDefault="00DF479B" w:rsidP="00C25F55"/>
    <w:p w14:paraId="5CDA72A2" w14:textId="3A3002D7" w:rsidR="00210B5F" w:rsidRPr="00210B5F" w:rsidRDefault="00210B5F" w:rsidP="00210B5F">
      <w:pPr>
        <w:pStyle w:val="Heading3"/>
      </w:pPr>
      <w:r>
        <w:t>Ανάκληση αίτησης</w:t>
      </w:r>
    </w:p>
    <w:p w14:paraId="13585D02" w14:textId="0DEE9DE5" w:rsidR="00210B5F" w:rsidRDefault="00210B5F" w:rsidP="00DA38BA">
      <w:r>
        <w:t xml:space="preserve">Σημειώνεται ότι, ανά πάσα στιγμή, ο συναλλασσόμενος μπορεί να ζητήσει την ανάκληση της αίτησής του. Όταν η ανάκληση επιβεβαιώνεται από το σύστημα, δεν μπορεί πλέον να υποβληθεί σε ανάλυση από τις τελωνειακές αρχές και δεν μπορεί να αναληφθεί περαιτέρω δράση για τη συγκεκριμένη αίτηση. </w:t>
      </w:r>
    </w:p>
    <w:p w14:paraId="0A6E91C3" w14:textId="7C9B905D" w:rsidR="00210B5F" w:rsidRDefault="00210B5F" w:rsidP="00DA38BA">
      <w:r>
        <w:t>Ο συναλλασσόμενος δύναται στη συνέχεια να υποβάλει νέα αίτηση για νέα άδεια - υποβάλλοντας νέα αίτηση τελωνειακής απόφασης.</w:t>
      </w:r>
    </w:p>
    <w:p w14:paraId="76FE4993" w14:textId="28D47228" w:rsidR="00530E6B" w:rsidRDefault="00530E6B" w:rsidP="00DA38BA"/>
    <w:p w14:paraId="792C2692" w14:textId="3BFE7D9C" w:rsidR="00530E6B" w:rsidRDefault="00530E6B" w:rsidP="00DA38BA"/>
    <w:p w14:paraId="2D259952" w14:textId="7D214D3C" w:rsidR="00530E6B" w:rsidRDefault="00530E6B">
      <w:pPr>
        <w:spacing w:after="0"/>
        <w:jc w:val="left"/>
        <w:rPr>
          <w:rFonts w:cs="Arial"/>
          <w:b/>
          <w:bCs/>
          <w:iCs/>
          <w:smallCaps/>
          <w:sz w:val="32"/>
          <w:szCs w:val="28"/>
        </w:rPr>
      </w:pPr>
      <w:r>
        <w:br w:type="page"/>
      </w:r>
    </w:p>
    <w:p w14:paraId="7D87DE14" w14:textId="1B92F5AA" w:rsidR="00530E6B" w:rsidRDefault="002366C0" w:rsidP="002366C0">
      <w:pPr>
        <w:pStyle w:val="Heading2"/>
      </w:pPr>
      <w:bookmarkStart w:id="4" w:name="_Ref470163088"/>
      <w:r>
        <w:lastRenderedPageBreak/>
        <w:t>Σημειώσεις αναφοράς: κατάλογος προϋποθέσεων αποδοχής</w:t>
      </w:r>
      <w:bookmarkEnd w:id="4"/>
    </w:p>
    <w:p w14:paraId="2C92F713" w14:textId="05FE2006" w:rsidR="009A3AC4" w:rsidRDefault="009A3AC4" w:rsidP="009A3AC4">
      <w:r>
        <w:t>Οι ακόλουθοι πίνακες παραθέτουν τις προϋποθέσεις αποδοχής προς επαλήθευση, είτε από τον τελωνειακό υπάλληλο είτε από το σύστημα, ανάλογα με το είδος της άδειας.</w:t>
      </w:r>
    </w:p>
    <w:p w14:paraId="011F43B3" w14:textId="3A63F3ED" w:rsidR="00B50B7C" w:rsidRDefault="00B50B7C" w:rsidP="009A3AC4">
      <w:r>
        <w:rPr>
          <w:noProof/>
          <w:lang w:val="en-GB" w:eastAsia="en-GB" w:bidi="ar-SA"/>
        </w:rPr>
        <mc:AlternateContent>
          <mc:Choice Requires="wps">
            <w:drawing>
              <wp:inline distT="0" distB="0" distL="0" distR="0" wp14:anchorId="2791A457" wp14:editId="2D62A78D">
                <wp:extent cx="5762229" cy="1482215"/>
                <wp:effectExtent l="0" t="0" r="1016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229" cy="1482215"/>
                        </a:xfrm>
                        <a:prstGeom prst="roundRect">
                          <a:avLst/>
                        </a:prstGeom>
                        <a:solidFill>
                          <a:srgbClr val="FFC000"/>
                        </a:solidFill>
                        <a:ln w="3175">
                          <a:solidFill>
                            <a:schemeClr val="accent4">
                              <a:lumMod val="60000"/>
                              <a:lumOff val="40000"/>
                            </a:schemeClr>
                          </a:solidFill>
                          <a:headEnd/>
                          <a:tailEnd/>
                        </a:ln>
                        <a:effectLst>
                          <a:softEdge rad="0"/>
                        </a:effectLst>
                      </wps:spPr>
                      <wps:style>
                        <a:lnRef idx="2">
                          <a:schemeClr val="accent5"/>
                        </a:lnRef>
                        <a:fillRef idx="1">
                          <a:schemeClr val="lt1"/>
                        </a:fillRef>
                        <a:effectRef idx="0">
                          <a:schemeClr val="accent5"/>
                        </a:effectRef>
                        <a:fontRef idx="minor">
                          <a:schemeClr val="dk1"/>
                        </a:fontRef>
                      </wps:style>
                      <wps:txbx>
                        <w:txbxContent>
                          <w:p w14:paraId="30D4FC07" w14:textId="77777777" w:rsidR="00437780" w:rsidRPr="000832D7" w:rsidRDefault="00437780" w:rsidP="00B50B7C">
                            <w:pPr>
                              <w:rPr>
                                <w:color w:val="806000" w:themeColor="accent4" w:themeShade="80"/>
                                <w:sz w:val="16"/>
                              </w:rPr>
                            </w:pPr>
                            <w:r>
                              <w:rPr>
                                <w:noProof/>
                                <w:color w:val="806000" w:themeColor="accent4" w:themeShade="80"/>
                                <w:position w:val="-20"/>
                                <w:sz w:val="16"/>
                                <w:lang w:val="en-GB" w:eastAsia="en-GB" w:bidi="ar-SA"/>
                              </w:rPr>
                              <w:drawing>
                                <wp:inline distT="0" distB="0" distL="0" distR="0" wp14:anchorId="220DC61D" wp14:editId="057619EF">
                                  <wp:extent cx="360000" cy="360000"/>
                                  <wp:effectExtent l="0" t="0" r="0" b="2540"/>
                                  <wp:docPr id="210" name="Graphic 210"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5"/>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Προκειμένου να διευκολυνθεί η ταχεία επισκόπηση των προϋποθέσεων αποδοχής για κάθε είδος άδειας από τον αναγνώστη, το επάνω δεξιά κελί των ακόλουθων πινάκων περιέχει μία ή περισσότερες από τις ακόλουθες πληροφορίες:</w:t>
                            </w:r>
                          </w:p>
                          <w:p w14:paraId="75D5602C" w14:textId="77777777" w:rsidR="00437780" w:rsidRPr="000832D7" w:rsidRDefault="00437780" w:rsidP="00B50B7C">
                            <w:pPr>
                              <w:pStyle w:val="ListParagraph"/>
                              <w:numPr>
                                <w:ilvl w:val="0"/>
                                <w:numId w:val="12"/>
                              </w:numPr>
                              <w:rPr>
                                <w:color w:val="806000" w:themeColor="accent4" w:themeShade="80"/>
                                <w:sz w:val="16"/>
                              </w:rPr>
                            </w:pPr>
                            <w:r>
                              <w:rPr>
                                <w:color w:val="806000" w:themeColor="accent4" w:themeShade="80"/>
                                <w:sz w:val="16"/>
                              </w:rPr>
                              <w:t>Κωδικός, ο οποίος περιέχει τον κωδικό του είδους άδειας και σε ορισμένες περιπτώσεις ακολουθείται από πρόσθετους χαρακτήρες που περιγράφουν τη συγκεκριμένη κατάσταση (π.χ. CGU - άδεια συνολικής εγγύησης).</w:t>
                            </w:r>
                          </w:p>
                          <w:p w14:paraId="15D76AB4" w14:textId="77777777" w:rsidR="00437780" w:rsidRPr="000832D7" w:rsidRDefault="00437780" w:rsidP="00B50B7C">
                            <w:pPr>
                              <w:pStyle w:val="ListParagraph"/>
                              <w:numPr>
                                <w:ilvl w:val="0"/>
                                <w:numId w:val="12"/>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1ECD9FAC" wp14:editId="517345A7">
                                  <wp:extent cx="179705" cy="179705"/>
                                  <wp:effectExtent l="0" t="0" r="0" b="0"/>
                                  <wp:docPr id="199" name="Graphic 1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7"/>
                                              </a:ext>
                                            </a:extLst>
                                          </a:blip>
                                          <a:stretch>
                                            <a:fillRect/>
                                          </a:stretch>
                                        </pic:blipFill>
                                        <pic:spPr>
                                          <a:xfrm>
                                            <a:off x="0" y="0"/>
                                            <a:ext cx="179705" cy="179705"/>
                                          </a:xfrm>
                                          <a:prstGeom prst="rect">
                                            <a:avLst/>
                                          </a:prstGeom>
                                        </pic:spPr>
                                      </pic:pic>
                                    </a:graphicData>
                                  </a:graphic>
                                </wp:inline>
                              </w:drawing>
                            </w:r>
                            <w:r>
                              <w:rPr>
                                <w:color w:val="806000" w:themeColor="accent4" w:themeShade="80"/>
                                <w:sz w:val="16"/>
                              </w:rPr>
                              <w:t>: έλεγχοι που διενεργούνται από τον τελωνειακό υπάλληλο (μη αυτόματοι έλεγχοι)·</w:t>
                            </w:r>
                          </w:p>
                          <w:p w14:paraId="04253278" w14:textId="77777777" w:rsidR="00437780" w:rsidRPr="00B50B7C" w:rsidRDefault="00437780" w:rsidP="00B50B7C">
                            <w:pPr>
                              <w:pStyle w:val="ListParagraph"/>
                              <w:numPr>
                                <w:ilvl w:val="0"/>
                                <w:numId w:val="12"/>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4E43EC09" wp14:editId="1EC30357">
                                  <wp:extent cx="180000" cy="180000"/>
                                  <wp:effectExtent l="0" t="0" r="0" b="0"/>
                                  <wp:docPr id="200" name="Graphic 20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1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9"/>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έλεγχοι που διενεργούνται από το σύστημα (αυτόματοι έλεγχοι).</w:t>
                            </w:r>
                          </w:p>
                        </w:txbxContent>
                      </wps:txbx>
                      <wps:bodyPr rot="0" vert="horz" wrap="square" lIns="90000" tIns="0" rIns="91440" bIns="0" anchor="ctr" anchorCtr="0">
                        <a:spAutoFit/>
                      </wps:bodyPr>
                    </wps:wsp>
                  </a:graphicData>
                </a:graphic>
              </wp:inline>
            </w:drawing>
          </mc:Choice>
          <mc:Fallback>
            <w:pict>
              <v:roundrect xmlns:o="urn:schemas-microsoft-com:office:office" xmlns:v="urn:schemas-microsoft-com:vml" id="Text Box 2" o:spid="_x0000_s1026" style="width:453.7pt;height:11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" fillcolor="#ffc000" strokecolor="#ffd966 [1943]" strokeweight=".25pt">
                <v:stroke joinstyle="miter"/>
                <v:textbox style="mso-fit-shape-to-text:t" inset="2.5mm,0,,0">
                  <w:txbxContent>
                    <w:p xmlns:w14="http://schemas.microsoft.com/office/word/2010/wordml" w14:paraId="30D4FC07" w14:textId="77777777" w:rsidR="00437780" w:rsidRPr="000832D7" w:rsidRDefault="00437780" w:rsidP="00B50B7C">
                      <w:pPr>
                        <w:rPr>
                          <w:color w:val="806000" w:themeColor="accent4" w:themeShade="80"/>
                          <w:sz w:val="16"/>
                        </w:rPr>
                      </w:pPr>
                      <w:r>
                        <w:rPr>
                          <w:noProof/>
                          <w:color w:val="806000" w:themeColor="accent4" w:themeShade="80"/>
                          <w:position w:val="-20"/>
                          <w:sz w:val="16"/>
                        </w:rPr>
                        <w:drawing>
                          <wp:inline xmlns:wp14="http://schemas.microsoft.com/office/word/2010/wordprocessingDrawing" xmlns:wp="http://schemas.openxmlformats.org/drawingml/2006/wordprocessingDrawing" distT="0" distB="0" distL="0" distR="0" wp14:anchorId="220DC61D" wp14:editId="057619EF">
                            <wp:extent cx="360000" cy="360000"/>
                            <wp:effectExtent l="0" t="0" r="0" b="2540"/>
                            <wp:docPr id="210" name="Graphic 210"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Προκειμένου να διευκολυνθεί η ταχεία επισκόπηση των προϋποθέσεων αποδοχής για κάθε είδος άδειας από τον αναγνώστη, το επάνω δεξιά κελί των ακόλουθων πινάκων περιέχει μία ή περισσότερες από τις ακόλουθες πληροφορίες:</w:t>
                      </w:r>
                    </w:p>
                    <w:p xmlns:w14="http://schemas.microsoft.com/office/word/2010/wordml" w14:paraId="75D5602C" w14:textId="77777777" w:rsidR="00437780" w:rsidRPr="000832D7" w:rsidRDefault="00437780" w:rsidP="00B50B7C">
                      <w:pPr>
                        <w:pStyle w:val="ListParagraph"/>
                        <w:numPr>
                          <w:ilvl w:val="0"/>
                          <w:numId w:val="12"/>
                        </w:numPr>
                        <w:rPr>
                          <w:color w:val="806000" w:themeColor="accent4" w:themeShade="80"/>
                          <w:sz w:val="16"/>
                        </w:rPr>
                      </w:pPr>
                      <w:r>
                        <w:rPr>
                          <w:color w:val="806000" w:themeColor="accent4" w:themeShade="80"/>
                          <w:sz w:val="16"/>
                        </w:rPr>
                        <w:t>Κωδικός, ο οποίος περιέχει τον κωδικό του είδους άδειας και σε ορισμένες περιπτώσεις ακολουθείται από πρόσθετους χαρακτήρες που περιγράφουν τη συγκεκριμένη κατάσταση (π.χ. CGU - άδεια συνολικής εγγύησης).</w:t>
                      </w:r>
                    </w:p>
                    <w:p xmlns:w14="http://schemas.microsoft.com/office/word/2010/wordml" w14:paraId="15D76AB4" w14:textId="77777777" w:rsidR="00437780" w:rsidRPr="000832D7" w:rsidRDefault="00437780" w:rsidP="00B50B7C">
                      <w:pPr>
                        <w:pStyle w:val="ListParagraph"/>
                        <w:numPr>
                          <w:ilvl w:val="0"/>
                          <w:numId w:val="12"/>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rPr>
                        <w:drawing>
                          <wp:inline xmlns:wp14="http://schemas.microsoft.com/office/word/2010/wordprocessingDrawing" xmlns:wp="http://schemas.openxmlformats.org/drawingml/2006/wordprocessingDrawing" distT="0" distB="0" distL="0" distR="0" wp14:anchorId="1ECD9FAC" wp14:editId="517345A7">
                            <wp:extent cx="179705" cy="179705"/>
                            <wp:effectExtent l="0" t="0" r="0" b="0"/>
                            <wp:docPr id="199" name="Graphic 1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79705" cy="179705"/>
                                    </a:xfrm>
                                    <a:prstGeom prst="rect">
                                      <a:avLst/>
                                    </a:prstGeom>
                                  </pic:spPr>
                                </pic:pic>
                              </a:graphicData>
                            </a:graphic>
                          </wp:inline>
                        </w:drawing>
                      </w:r>
                      <w:r>
                        <w:rPr>
                          <w:color w:val="806000" w:themeColor="accent4" w:themeShade="80"/>
                          <w:sz w:val="16"/>
                        </w:rPr>
                        <w:t xml:space="preserve">: </w:t>
                      </w:r>
                      <w:r>
                        <w:rPr>
                          <w:color w:val="806000" w:themeColor="accent4" w:themeShade="80"/>
                          <w:sz w:val="16"/>
                        </w:rPr>
                        <w:t>έλεγχοι που διενεργούνται από τον τελωνειακό υπάλληλο (μη αυτόματοι έλεγχοι)·</w:t>
                      </w:r>
                    </w:p>
                    <w:proofErr w:type="gramStart"/>
                    <w:proofErr w:type="gramEnd"/>
                    <w:p xmlns:w14="http://schemas.microsoft.com/office/word/2010/wordml" w14:paraId="04253278" w14:textId="77777777" w:rsidR="00437780" w:rsidRPr="00B50B7C" w:rsidRDefault="00437780" w:rsidP="00B50B7C">
                      <w:pPr>
                        <w:pStyle w:val="ListParagraph"/>
                        <w:numPr>
                          <w:ilvl w:val="0"/>
                          <w:numId w:val="12"/>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rPr>
                        <w:drawing>
                          <wp:inline xmlns:wp14="http://schemas.microsoft.com/office/word/2010/wordprocessingDrawing" xmlns:wp="http://schemas.openxmlformats.org/drawingml/2006/wordprocessingDrawing" distT="0" distB="0" distL="0" distR="0" wp14:anchorId="4E43EC09" wp14:editId="1EC30357">
                            <wp:extent cx="180000" cy="180000"/>
                            <wp:effectExtent l="0" t="0" r="0" b="0"/>
                            <wp:docPr id="200" name="Graphic 20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xml:space="preserve">: </w:t>
                      </w:r>
                      <w:r>
                        <w:rPr>
                          <w:color w:val="806000" w:themeColor="accent4" w:themeShade="80"/>
                          <w:sz w:val="16"/>
                        </w:rPr>
                        <w:t>έλεγχοι που διενεργούνται από το σύστημα (αυτόματοι έλεγχοι).</w:t>
                      </w:r>
                    </w:p>
                  </w:txbxContent>
                </v:textbox>
                <w10:anchorlock xmlns:w10="urn:schemas-microsoft-com:office:word"/>
              </v:roundrect>
            </w:pict>
          </mc:Fallback>
        </mc:AlternateContent>
      </w:r>
    </w:p>
    <w:p w14:paraId="7DA5B9B2" w14:textId="77777777" w:rsidR="009A3AC4" w:rsidRDefault="009A3AC4" w:rsidP="002366C0">
      <w:pPr>
        <w:pStyle w:val="Heading3"/>
      </w:pPr>
      <w:r>
        <w:t>Υπαγωγή των εμπορευμάτων σε τελωνειακό καθεστώς και προσωρινή εναπόθεση</w:t>
      </w:r>
    </w:p>
    <w:p w14:paraId="7837C255" w14:textId="215ED933" w:rsidR="003A4EFE" w:rsidRDefault="003A4EFE" w:rsidP="003A4EFE">
      <w:r>
        <w:t xml:space="preserve">Για τα ακόλουθα είδη αδειών, οι προϋποθέσεις προς επαλήθευση από τις τελωνειακές αρχές παρατίθενται στον </w:t>
      </w:r>
      <w:r>
        <w:fldChar w:fldCharType="begin"/>
      </w:r>
      <w:r>
        <w:instrText xml:space="preserve"> REF _Ref470178475 \h </w:instrText>
      </w:r>
      <w:r>
        <w:fldChar w:fldCharType="separate"/>
      </w:r>
      <w:r w:rsidR="0007507A">
        <w:t>Πίνακα</w:t>
      </w:r>
      <w:r>
        <w:t xml:space="preserve"> </w:t>
      </w:r>
      <w:r>
        <w:rPr>
          <w:noProof/>
        </w:rPr>
        <w:t>3</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_Ref470178478 \h </w:instrText>
      </w:r>
      <w:r>
        <w:fldChar w:fldCharType="separate"/>
      </w:r>
      <w:r w:rsidR="0007507A">
        <w:t>Πίνακα</w:t>
      </w:r>
      <w:r>
        <w:t xml:space="preserve"> </w:t>
      </w:r>
      <w:r>
        <w:rPr>
          <w:noProof/>
        </w:rPr>
        <w:t>4</w:t>
      </w:r>
      <w:r>
        <w:fldChar w:fldCharType="end"/>
      </w:r>
      <w:r>
        <w:t>.</w:t>
      </w:r>
    </w:p>
    <w:p w14:paraId="3A8A1434" w14:textId="36A11B20" w:rsidR="003A4EFE" w:rsidRPr="003A4EFE" w:rsidRDefault="003A4EFE" w:rsidP="00AD5B79">
      <w:pPr>
        <w:pStyle w:val="ListParagraph"/>
        <w:numPr>
          <w:ilvl w:val="0"/>
          <w:numId w:val="8"/>
        </w:numPr>
        <w:ind w:left="568" w:hanging="284"/>
        <w:contextualSpacing w:val="0"/>
      </w:pPr>
      <w:r>
        <w:t>Άδεια για υποβολή τελωνειακής διασάφησης μέσω εισαγωγής δεδομένων στις λογιστικές καταχωρίσεις του διασαφιστή, μεταξύ άλλων για το καθεστώς εξαγωγής·</w:t>
      </w:r>
    </w:p>
    <w:p w14:paraId="5E35D82B" w14:textId="3E0F5EDC" w:rsidR="003A4EFE" w:rsidRPr="003A4EFE" w:rsidRDefault="003A4EFE" w:rsidP="00AD5B79">
      <w:pPr>
        <w:pStyle w:val="ListParagraph"/>
        <w:numPr>
          <w:ilvl w:val="0"/>
          <w:numId w:val="8"/>
        </w:numPr>
        <w:ind w:left="568" w:hanging="284"/>
        <w:contextualSpacing w:val="0"/>
      </w:pPr>
      <w:r>
        <w:t>Άδεια για κεντρικό τελωνισμό·</w:t>
      </w:r>
    </w:p>
    <w:p w14:paraId="52B2DC30" w14:textId="277996B1" w:rsidR="003A4EFE" w:rsidRPr="003A4EFE" w:rsidRDefault="003A4EFE" w:rsidP="00AD5B79">
      <w:pPr>
        <w:pStyle w:val="ListParagraph"/>
        <w:numPr>
          <w:ilvl w:val="0"/>
          <w:numId w:val="8"/>
        </w:numPr>
        <w:ind w:left="568" w:hanging="284"/>
        <w:contextualSpacing w:val="0"/>
      </w:pPr>
      <w:r>
        <w:t>Άδεια για χρήση απλουστευμένης διασάφησης·</w:t>
      </w:r>
    </w:p>
    <w:p w14:paraId="32B5ECDD" w14:textId="27F691A6" w:rsidR="003A4EFE" w:rsidRPr="003A4EFE" w:rsidRDefault="003A4EFE" w:rsidP="00AD5B79">
      <w:pPr>
        <w:pStyle w:val="ListParagraph"/>
        <w:numPr>
          <w:ilvl w:val="0"/>
          <w:numId w:val="8"/>
        </w:numPr>
        <w:ind w:left="568" w:hanging="284"/>
        <w:contextualSpacing w:val="0"/>
      </w:pPr>
      <w:r>
        <w:t>Άδεια σχετικά με την ιδιότητα του εγκεκριμένου ζυγιστή μπανανών·</w:t>
      </w:r>
    </w:p>
    <w:p w14:paraId="084CA272" w14:textId="45B9A22C" w:rsidR="003A4EFE" w:rsidRPr="003A4EFE" w:rsidRDefault="003A4EFE" w:rsidP="00AD5B79">
      <w:pPr>
        <w:pStyle w:val="ListParagraph"/>
        <w:numPr>
          <w:ilvl w:val="0"/>
          <w:numId w:val="8"/>
        </w:numPr>
        <w:ind w:left="568" w:hanging="284"/>
        <w:contextualSpacing w:val="0"/>
      </w:pPr>
      <w:r>
        <w:t>Άδεια για αυτοαξιολόγηση·</w:t>
      </w:r>
    </w:p>
    <w:p w14:paraId="530935AD" w14:textId="68987F8C" w:rsidR="003A4EFE" w:rsidRDefault="003A4EFE" w:rsidP="00AD5B79">
      <w:pPr>
        <w:pStyle w:val="ListParagraph"/>
        <w:numPr>
          <w:ilvl w:val="0"/>
          <w:numId w:val="8"/>
        </w:numPr>
        <w:ind w:left="568" w:hanging="284"/>
        <w:contextualSpacing w:val="0"/>
      </w:pPr>
      <w:r>
        <w:t>Άδεια λειτουργίας εγκαταστάσεων προσωρινής εναπόθεσης.</w:t>
      </w:r>
    </w:p>
    <w:tbl>
      <w:tblPr>
        <w:tblStyle w:val="GridTable5Dark-Accent61"/>
        <w:tblW w:w="5000" w:type="pct"/>
        <w:tblLook w:val="0420" w:firstRow="1" w:lastRow="0" w:firstColumn="0" w:lastColumn="0" w:noHBand="0" w:noVBand="1"/>
      </w:tblPr>
      <w:tblGrid>
        <w:gridCol w:w="7115"/>
        <w:gridCol w:w="2173"/>
      </w:tblGrid>
      <w:tr w:rsidR="00B50B7C" w14:paraId="7EF2306E"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18DCB0DD"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6579C6EE" w14:textId="6ADCE179" w:rsidR="00B50B7C" w:rsidRDefault="00AE059C" w:rsidP="00BA3F4E">
            <w:pPr>
              <w:keepNext/>
              <w:spacing w:after="0"/>
              <w:jc w:val="center"/>
            </w:pPr>
            <w:r>
              <w:t>EIR, CCL, SDE, AWB, SAS, TST</w:t>
            </w:r>
          </w:p>
          <w:p w14:paraId="0BD17E97" w14:textId="77777777" w:rsidR="00B50B7C" w:rsidRDefault="00B50B7C" w:rsidP="00BA3F4E">
            <w:pPr>
              <w:keepNext/>
              <w:spacing w:after="0"/>
              <w:jc w:val="center"/>
            </w:pPr>
            <w:r>
              <w:rPr>
                <w:noProof/>
                <w:lang w:val="en-GB" w:eastAsia="en-GB" w:bidi="ar-SA"/>
              </w:rPr>
              <w:drawing>
                <wp:inline distT="0" distB="0" distL="0" distR="0" wp14:anchorId="2C38FA67" wp14:editId="20EB006F">
                  <wp:extent cx="179705" cy="179705"/>
                  <wp:effectExtent l="0" t="0" r="0" b="0"/>
                  <wp:docPr id="4" name="Graphic 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3A4EFE" w:rsidRPr="0025275D" w14:paraId="04D6A48D"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F143233" w14:textId="77777777" w:rsidR="003A4EFE" w:rsidRPr="0025275D" w:rsidRDefault="003A4EFE"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3A4EFE" w:rsidRPr="0025275D" w14:paraId="18C70C42" w14:textId="77777777" w:rsidTr="00E61EC1">
        <w:trPr>
          <w:trHeight w:val="454"/>
        </w:trPr>
        <w:tc>
          <w:tcPr>
            <w:tcW w:w="5000" w:type="pct"/>
            <w:gridSpan w:val="2"/>
            <w:vAlign w:val="center"/>
          </w:tcPr>
          <w:p w14:paraId="3973566B" w14:textId="77777777" w:rsidR="003A4EFE" w:rsidRPr="0025275D" w:rsidRDefault="003A4EFE"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3A4EFE" w:rsidRPr="0025275D" w14:paraId="2A06AD9F"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72DFB19" w14:textId="77777777" w:rsidR="003A4EFE" w:rsidRPr="0025275D" w:rsidRDefault="003A4EFE"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3A4EFE" w:rsidRPr="0025275D" w14:paraId="6949918C" w14:textId="77777777" w:rsidTr="00E61EC1">
        <w:trPr>
          <w:trHeight w:val="454"/>
        </w:trPr>
        <w:tc>
          <w:tcPr>
            <w:tcW w:w="5000" w:type="pct"/>
            <w:gridSpan w:val="2"/>
            <w:vAlign w:val="center"/>
          </w:tcPr>
          <w:p w14:paraId="5D3F87CC" w14:textId="77777777" w:rsidR="003A4EFE" w:rsidRPr="0025275D" w:rsidRDefault="003A4EFE"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3BB24FC2" w14:textId="77F03303" w:rsidR="003A4EFE" w:rsidRDefault="003A4EFE" w:rsidP="003A4EFE">
      <w:pPr>
        <w:pStyle w:val="Caption"/>
      </w:pPr>
      <w:bookmarkStart w:id="5" w:name="_Ref470178475"/>
      <w:r>
        <w:t>Πίνακας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5"/>
      <w:r>
        <w:t xml:space="preserve"> Προϋποθέσεις προς επαλήθευση από τις τελωνειακές αρχές - Υπαγωγή των εμπορευμάτων σε τελωνειακό καθεστώς και προσωρινή εναπόθεση</w:t>
      </w:r>
    </w:p>
    <w:p w14:paraId="42AA8CE2" w14:textId="77777777" w:rsidR="003A4EFE" w:rsidRPr="006531B1" w:rsidRDefault="003A4EFE" w:rsidP="003A4EFE"/>
    <w:tbl>
      <w:tblPr>
        <w:tblStyle w:val="GridTable5Dark-Accent51"/>
        <w:tblW w:w="5000" w:type="pct"/>
        <w:jc w:val="center"/>
        <w:tblLook w:val="0420" w:firstRow="1" w:lastRow="0" w:firstColumn="0" w:lastColumn="0" w:noHBand="0" w:noVBand="1"/>
      </w:tblPr>
      <w:tblGrid>
        <w:gridCol w:w="7115"/>
        <w:gridCol w:w="2173"/>
      </w:tblGrid>
      <w:tr w:rsidR="00B50B7C" w14:paraId="2BB87672"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6923B6C6"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27AF3A81" w14:textId="77777777" w:rsidR="00AE059C" w:rsidRDefault="00AE059C" w:rsidP="00AE059C">
            <w:pPr>
              <w:keepNext/>
              <w:spacing w:after="0"/>
              <w:jc w:val="center"/>
            </w:pPr>
            <w:r>
              <w:t>EIR, CCL, SDE, AWB, SAS, TST</w:t>
            </w:r>
          </w:p>
          <w:p w14:paraId="7E7D65D4"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5EA4B3C7" wp14:editId="6F91B441">
                  <wp:extent cx="180000" cy="180000"/>
                  <wp:effectExtent l="0" t="0" r="0" b="0"/>
                  <wp:docPr id="19" name="Graphic 19"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3A4EFE" w:rsidRPr="0025275D" w14:paraId="7FCB020D"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0678E4D" w14:textId="77777777" w:rsidR="003A4EFE" w:rsidRPr="0025275D" w:rsidRDefault="003A4EFE" w:rsidP="00D7267E">
            <w:pPr>
              <w:keepNext/>
              <w:spacing w:after="0"/>
              <w:jc w:val="left"/>
              <w:rPr>
                <w:color w:val="002060"/>
                <w:sz w:val="18"/>
              </w:rPr>
            </w:pPr>
            <w:r>
              <w:rPr>
                <w:color w:val="002060"/>
                <w:sz w:val="18"/>
              </w:rPr>
              <w:t>Ο αιτών διαθέτει έγκυρο αριθμό EORI</w:t>
            </w:r>
          </w:p>
        </w:tc>
      </w:tr>
      <w:tr w:rsidR="003A4EFE" w:rsidRPr="0025275D" w14:paraId="5B12C128" w14:textId="77777777" w:rsidTr="00E61EC1">
        <w:trPr>
          <w:trHeight w:val="454"/>
          <w:jc w:val="center"/>
        </w:trPr>
        <w:tc>
          <w:tcPr>
            <w:tcW w:w="5000" w:type="pct"/>
            <w:gridSpan w:val="2"/>
            <w:vAlign w:val="center"/>
          </w:tcPr>
          <w:p w14:paraId="2A1AA403" w14:textId="77777777" w:rsidR="003A4EFE" w:rsidRPr="0025275D" w:rsidRDefault="003A4EFE"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798912F7" w14:textId="6F9A62DB" w:rsidR="003A4EFE" w:rsidRDefault="003A4EFE" w:rsidP="003A4EFE">
      <w:pPr>
        <w:pStyle w:val="Caption"/>
      </w:pPr>
      <w:bookmarkStart w:id="6" w:name="_Ref470178478"/>
      <w:r>
        <w:t>Πίνακας </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6"/>
      <w:r>
        <w:t xml:space="preserve"> Προϋποθέσεις που επαληθεύονται από το σύστημα - Υπαγωγή των εμπορευμάτων σε τελωνειακό καθεστώς και προσωρινή εναπόθεση</w:t>
      </w:r>
    </w:p>
    <w:p w14:paraId="06C54F83" w14:textId="6DC9B975" w:rsidR="009A3AC4" w:rsidRDefault="009A3AC4" w:rsidP="003A4EFE"/>
    <w:p w14:paraId="5A880DC2" w14:textId="77777777" w:rsidR="009A3AC4" w:rsidRDefault="009A3AC4" w:rsidP="002366C0">
      <w:pPr>
        <w:pStyle w:val="Heading3"/>
      </w:pPr>
      <w:r>
        <w:t>Ειδικά καθεστώτα</w:t>
      </w:r>
    </w:p>
    <w:p w14:paraId="3084BC05" w14:textId="68A7AA46" w:rsidR="009A3AC4" w:rsidRDefault="009A3AC4" w:rsidP="002366C0">
      <w:pPr>
        <w:pStyle w:val="Heading4"/>
      </w:pPr>
      <w:r>
        <w:t>Άδειες για τη λειτουργία εγκαταστάσεων αποθήκευσης που προορίζονται για την τελωνειακή αποταμίευση εμπορευμάτων</w:t>
      </w:r>
    </w:p>
    <w:p w14:paraId="27C78332" w14:textId="5F7A4F4E" w:rsidR="009A6C55" w:rsidRDefault="009A6C55" w:rsidP="009A6C55">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_Ref470180141 \h </w:instrText>
      </w:r>
      <w:r>
        <w:fldChar w:fldCharType="separate"/>
      </w:r>
      <w:r w:rsidR="0007507A">
        <w:t>Πίνακα</w:t>
      </w:r>
      <w:r>
        <w:t xml:space="preserve"> </w:t>
      </w:r>
      <w:r>
        <w:rPr>
          <w:noProof/>
        </w:rPr>
        <w:t>5</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_Ref470180143 \h </w:instrText>
      </w:r>
      <w:r>
        <w:fldChar w:fldCharType="separate"/>
      </w:r>
      <w:r w:rsidR="0007507A">
        <w:t>Πίνακα</w:t>
      </w:r>
      <w:r>
        <w:t xml:space="preserve"> </w:t>
      </w:r>
      <w:r>
        <w:rPr>
          <w:noProof/>
        </w:rPr>
        <w:t>6</w:t>
      </w:r>
      <w:r>
        <w:fldChar w:fldCharType="end"/>
      </w:r>
      <w:r>
        <w:t>.</w:t>
      </w:r>
    </w:p>
    <w:p w14:paraId="2C00D767" w14:textId="7A469C0F" w:rsidR="009A6C55" w:rsidRDefault="009A6C55" w:rsidP="00AD5B79">
      <w:pPr>
        <w:pStyle w:val="ListParagraph"/>
        <w:numPr>
          <w:ilvl w:val="0"/>
          <w:numId w:val="8"/>
        </w:numPr>
        <w:ind w:left="568" w:hanging="284"/>
        <w:contextualSpacing w:val="0"/>
      </w:pPr>
      <w:r>
        <w:t>Άδειες για τη λειτουργία εγκαταστάσεων αποθήκευσης που προορίζονται για την τελωνειακή αποταμίευση εμπορευμάτων.</w:t>
      </w:r>
    </w:p>
    <w:tbl>
      <w:tblPr>
        <w:tblStyle w:val="GridTable5Dark-Accent61"/>
        <w:tblW w:w="5000" w:type="pct"/>
        <w:tblLook w:val="0420" w:firstRow="1" w:lastRow="0" w:firstColumn="0" w:lastColumn="0" w:noHBand="0" w:noVBand="1"/>
      </w:tblPr>
      <w:tblGrid>
        <w:gridCol w:w="7115"/>
        <w:gridCol w:w="2173"/>
      </w:tblGrid>
      <w:tr w:rsidR="00B50B7C" w14:paraId="6DDA02EC"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4F3ADAB8"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1FE59997" w14:textId="2A455491" w:rsidR="00B50B7C" w:rsidRDefault="00AE059C" w:rsidP="00BA3F4E">
            <w:pPr>
              <w:keepNext/>
              <w:spacing w:after="0"/>
              <w:jc w:val="center"/>
            </w:pPr>
            <w:r>
              <w:t>CW1, CW2, CWP</w:t>
            </w:r>
          </w:p>
          <w:p w14:paraId="46420581" w14:textId="77777777" w:rsidR="00B50B7C" w:rsidRDefault="00B50B7C" w:rsidP="00BA3F4E">
            <w:pPr>
              <w:keepNext/>
              <w:spacing w:after="0"/>
              <w:jc w:val="center"/>
            </w:pPr>
            <w:r>
              <w:rPr>
                <w:noProof/>
                <w:lang w:val="en-GB" w:eastAsia="en-GB" w:bidi="ar-SA"/>
              </w:rPr>
              <w:drawing>
                <wp:inline distT="0" distB="0" distL="0" distR="0" wp14:anchorId="5FAF0880" wp14:editId="58E5FE93">
                  <wp:extent cx="179705" cy="179705"/>
                  <wp:effectExtent l="0" t="0" r="0" b="0"/>
                  <wp:docPr id="5" name="Graphic 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3DF7D448"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7D6FEBF"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9A6C55" w:rsidRPr="0025275D" w14:paraId="3F17BEB1" w14:textId="77777777" w:rsidTr="00E61EC1">
        <w:trPr>
          <w:trHeight w:val="454"/>
        </w:trPr>
        <w:tc>
          <w:tcPr>
            <w:tcW w:w="5000" w:type="pct"/>
            <w:gridSpan w:val="2"/>
            <w:vAlign w:val="center"/>
          </w:tcPr>
          <w:p w14:paraId="6797A166"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9A6C55" w:rsidRPr="0025275D" w14:paraId="205429BD"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CFB50B7"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9A6C55" w:rsidRPr="0025275D" w14:paraId="2F4CC050" w14:textId="77777777" w:rsidTr="00E61EC1">
        <w:trPr>
          <w:trHeight w:val="454"/>
        </w:trPr>
        <w:tc>
          <w:tcPr>
            <w:tcW w:w="5000" w:type="pct"/>
            <w:gridSpan w:val="2"/>
            <w:vAlign w:val="center"/>
          </w:tcPr>
          <w:p w14:paraId="57D20669"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5D0FA709" w14:textId="177687B6" w:rsidR="009A6C55" w:rsidRDefault="009A6C55" w:rsidP="009A6C55">
      <w:pPr>
        <w:pStyle w:val="Caption"/>
      </w:pPr>
      <w:bookmarkStart w:id="7" w:name="_Ref470180141"/>
      <w:r>
        <w:t>Πίνακας </w:t>
      </w:r>
      <w:r>
        <w:rPr>
          <w:noProof/>
        </w:rPr>
        <w:fldChar w:fldCharType="begin"/>
      </w:r>
      <w:r>
        <w:rPr>
          <w:noProof/>
        </w:rPr>
        <w:instrText xml:space="preserve"> SEQ Table \* ARABIC </w:instrText>
      </w:r>
      <w:r>
        <w:rPr>
          <w:noProof/>
        </w:rPr>
        <w:fldChar w:fldCharType="separate"/>
      </w:r>
      <w:r>
        <w:rPr>
          <w:noProof/>
        </w:rPr>
        <w:t>5</w:t>
      </w:r>
      <w:r>
        <w:rPr>
          <w:noProof/>
        </w:rPr>
        <w:fldChar w:fldCharType="end"/>
      </w:r>
      <w:bookmarkEnd w:id="7"/>
      <w:r>
        <w:t xml:space="preserve"> Προϋποθέσεις προς επαλήθευση από τις τελωνειακές αρχές – Τελωνειακή αποταμίευση</w:t>
      </w:r>
    </w:p>
    <w:p w14:paraId="3C87E41A"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5C4C1CA4"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4CAF2EB3"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779F61F7" w14:textId="24EC0F5A" w:rsidR="00B50B7C" w:rsidRDefault="00B50B7C" w:rsidP="00B50B7C">
            <w:pPr>
              <w:keepNext/>
              <w:spacing w:after="0"/>
              <w:jc w:val="center"/>
            </w:pPr>
            <w:r>
              <w:t>CW1, CW2, CWP</w:t>
            </w:r>
          </w:p>
          <w:p w14:paraId="387E31DF"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6EF3973E" wp14:editId="11FE134C">
                  <wp:extent cx="180000" cy="180000"/>
                  <wp:effectExtent l="0" t="0" r="0" b="0"/>
                  <wp:docPr id="20" name="Graphic 2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39613514"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1347825F" w14:textId="77777777" w:rsidR="009A6C55" w:rsidRPr="0025275D" w:rsidRDefault="009A6C55" w:rsidP="00D7267E">
            <w:pPr>
              <w:keepNext/>
              <w:spacing w:after="0"/>
              <w:jc w:val="left"/>
              <w:rPr>
                <w:color w:val="002060"/>
                <w:sz w:val="18"/>
              </w:rPr>
            </w:pPr>
            <w:r>
              <w:rPr>
                <w:color w:val="002060"/>
                <w:sz w:val="18"/>
              </w:rPr>
              <w:t>Ο αιτών διαθέτει έγκυρο αριθμό EORI</w:t>
            </w:r>
          </w:p>
        </w:tc>
      </w:tr>
      <w:tr w:rsidR="009A6C55" w:rsidRPr="0025275D" w14:paraId="24968557" w14:textId="77777777" w:rsidTr="00E61EC1">
        <w:trPr>
          <w:trHeight w:val="454"/>
          <w:jc w:val="center"/>
        </w:trPr>
        <w:tc>
          <w:tcPr>
            <w:tcW w:w="5000" w:type="pct"/>
            <w:gridSpan w:val="2"/>
            <w:vAlign w:val="center"/>
          </w:tcPr>
          <w:p w14:paraId="613E0D71" w14:textId="77777777" w:rsidR="009A6C55" w:rsidRPr="0025275D" w:rsidRDefault="009A6C55"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3D86138D" w14:textId="42C5C1E4" w:rsidR="009A6C55" w:rsidRDefault="009A6C55" w:rsidP="009A6C55">
      <w:pPr>
        <w:pStyle w:val="Caption"/>
      </w:pPr>
      <w:bookmarkStart w:id="8" w:name="_Ref470180143"/>
      <w:r>
        <w:t>Πίνακας </w:t>
      </w:r>
      <w:r>
        <w:rPr>
          <w:noProof/>
        </w:rPr>
        <w:fldChar w:fldCharType="begin"/>
      </w:r>
      <w:r>
        <w:rPr>
          <w:noProof/>
        </w:rPr>
        <w:instrText xml:space="preserve"> SEQ Table \* ARABIC </w:instrText>
      </w:r>
      <w:r>
        <w:rPr>
          <w:noProof/>
        </w:rPr>
        <w:fldChar w:fldCharType="separate"/>
      </w:r>
      <w:r>
        <w:rPr>
          <w:noProof/>
        </w:rPr>
        <w:t>6</w:t>
      </w:r>
      <w:r>
        <w:rPr>
          <w:noProof/>
        </w:rPr>
        <w:fldChar w:fldCharType="end"/>
      </w:r>
      <w:bookmarkEnd w:id="8"/>
      <w:r>
        <w:t xml:space="preserve"> Προϋποθέσεις που επαληθεύονται από το σύστημα – Τελωνειακή αποταμίευση</w:t>
      </w:r>
    </w:p>
    <w:p w14:paraId="6F2DDEE9" w14:textId="1FF9C578" w:rsidR="009A3AC4" w:rsidRDefault="009A3AC4" w:rsidP="002366C0">
      <w:pPr>
        <w:pStyle w:val="Heading4"/>
      </w:pPr>
      <w:r>
        <w:t>Άδεια για χρήση καθεστώτος τελειοποίησης προς επανεξαγωγή</w:t>
      </w:r>
    </w:p>
    <w:p w14:paraId="5370016C" w14:textId="17CDF0A9" w:rsidR="009A6C55" w:rsidRDefault="009A6C55" w:rsidP="009A6C55">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_Ref470180150 \h </w:instrText>
      </w:r>
      <w:r>
        <w:fldChar w:fldCharType="separate"/>
      </w:r>
      <w:r w:rsidR="0007507A">
        <w:t>Πίνακα</w:t>
      </w:r>
      <w:r>
        <w:t xml:space="preserve"> </w:t>
      </w:r>
      <w:r>
        <w:rPr>
          <w:noProof/>
        </w:rPr>
        <w:t>7</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_Ref470180151 \h </w:instrText>
      </w:r>
      <w:r>
        <w:fldChar w:fldCharType="separate"/>
      </w:r>
      <w:r w:rsidR="0007507A">
        <w:t>Πίνακα</w:t>
      </w:r>
      <w:r>
        <w:t xml:space="preserve"> </w:t>
      </w:r>
      <w:r>
        <w:rPr>
          <w:noProof/>
        </w:rPr>
        <w:t>8</w:t>
      </w:r>
      <w:r>
        <w:fldChar w:fldCharType="end"/>
      </w:r>
      <w:r>
        <w:t>.</w:t>
      </w:r>
    </w:p>
    <w:p w14:paraId="0AF36302" w14:textId="1E751DC2" w:rsidR="009A6C55" w:rsidRDefault="009A6C55" w:rsidP="00AD5B79">
      <w:pPr>
        <w:pStyle w:val="ListParagraph"/>
        <w:numPr>
          <w:ilvl w:val="0"/>
          <w:numId w:val="8"/>
        </w:numPr>
        <w:ind w:left="568" w:hanging="284"/>
        <w:contextualSpacing w:val="0"/>
      </w:pPr>
      <w:r>
        <w:t>Άδεια για χρήση καθεστώτος τελειοποίησης προς επανεξαγωγή.</w:t>
      </w:r>
    </w:p>
    <w:tbl>
      <w:tblPr>
        <w:tblStyle w:val="GridTable5Dark-Accent61"/>
        <w:tblW w:w="5000" w:type="pct"/>
        <w:tblLook w:val="0420" w:firstRow="1" w:lastRow="0" w:firstColumn="0" w:lastColumn="0" w:noHBand="0" w:noVBand="1"/>
      </w:tblPr>
      <w:tblGrid>
        <w:gridCol w:w="7115"/>
        <w:gridCol w:w="2173"/>
      </w:tblGrid>
      <w:tr w:rsidR="00B50B7C" w14:paraId="6CEA7AE0"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1FDFDBB6"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69FC91BB" w14:textId="2BE97F82" w:rsidR="00B50B7C" w:rsidRDefault="00B50B7C" w:rsidP="00BA3F4E">
            <w:pPr>
              <w:keepNext/>
              <w:spacing w:after="0"/>
              <w:jc w:val="center"/>
            </w:pPr>
            <w:r>
              <w:t>IPO</w:t>
            </w:r>
          </w:p>
          <w:p w14:paraId="196FB11E" w14:textId="77777777" w:rsidR="00B50B7C" w:rsidRDefault="00B50B7C" w:rsidP="00BA3F4E">
            <w:pPr>
              <w:keepNext/>
              <w:spacing w:after="0"/>
              <w:jc w:val="center"/>
            </w:pPr>
            <w:r>
              <w:rPr>
                <w:noProof/>
                <w:lang w:val="en-GB" w:eastAsia="en-GB" w:bidi="ar-SA"/>
              </w:rPr>
              <w:drawing>
                <wp:inline distT="0" distB="0" distL="0" distR="0" wp14:anchorId="7A78DF4E" wp14:editId="0A1B9DF6">
                  <wp:extent cx="179705" cy="179705"/>
                  <wp:effectExtent l="0" t="0" r="0" b="0"/>
                  <wp:docPr id="6" name="Graphic 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7C75F202"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7ECA4AA"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9A6C55" w:rsidRPr="0025275D" w14:paraId="447DA42B" w14:textId="77777777" w:rsidTr="00E61EC1">
        <w:trPr>
          <w:trHeight w:val="454"/>
        </w:trPr>
        <w:tc>
          <w:tcPr>
            <w:tcW w:w="5000" w:type="pct"/>
            <w:gridSpan w:val="2"/>
            <w:vAlign w:val="center"/>
          </w:tcPr>
          <w:p w14:paraId="53D243BE"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9A6C55" w:rsidRPr="0025275D" w14:paraId="32E2A4B4"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30FDECA"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9A6C55" w:rsidRPr="0025275D" w14:paraId="04A3F715" w14:textId="77777777" w:rsidTr="00E61EC1">
        <w:trPr>
          <w:trHeight w:val="454"/>
        </w:trPr>
        <w:tc>
          <w:tcPr>
            <w:tcW w:w="5000" w:type="pct"/>
            <w:gridSpan w:val="2"/>
            <w:vAlign w:val="center"/>
          </w:tcPr>
          <w:p w14:paraId="3BD56582"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7E53C974" w14:textId="4400B7E1" w:rsidR="009A6C55" w:rsidRDefault="009A6C55" w:rsidP="009A6C55">
      <w:pPr>
        <w:pStyle w:val="Caption"/>
      </w:pPr>
      <w:bookmarkStart w:id="9" w:name="_Ref470180150"/>
      <w:r>
        <w:t>Πίνακας </w:t>
      </w:r>
      <w:r>
        <w:rPr>
          <w:noProof/>
        </w:rPr>
        <w:fldChar w:fldCharType="begin"/>
      </w:r>
      <w:r>
        <w:rPr>
          <w:noProof/>
        </w:rPr>
        <w:instrText xml:space="preserve"> SEQ Table \* ARABIC </w:instrText>
      </w:r>
      <w:r>
        <w:rPr>
          <w:noProof/>
        </w:rPr>
        <w:fldChar w:fldCharType="separate"/>
      </w:r>
      <w:r>
        <w:rPr>
          <w:noProof/>
        </w:rPr>
        <w:t>7</w:t>
      </w:r>
      <w:r>
        <w:rPr>
          <w:noProof/>
        </w:rPr>
        <w:fldChar w:fldCharType="end"/>
      </w:r>
      <w:bookmarkEnd w:id="9"/>
      <w:r>
        <w:t xml:space="preserve"> Προϋποθέσεις προς επαλήθευση από τις τελωνειακές αρχές - Τελειοποίηση προς επανεξαγωγή</w:t>
      </w:r>
    </w:p>
    <w:p w14:paraId="6F645103"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773ED00C"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6C7C09BD"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6D8E8BB9" w14:textId="47E53C5E" w:rsidR="00B50B7C" w:rsidRDefault="00B50B7C" w:rsidP="00BA3F4E">
            <w:pPr>
              <w:keepNext/>
              <w:spacing w:after="0"/>
              <w:jc w:val="center"/>
            </w:pPr>
            <w:r>
              <w:t>IPO</w:t>
            </w:r>
          </w:p>
          <w:p w14:paraId="10931FFC"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3FC063D4" wp14:editId="52C2A570">
                  <wp:extent cx="180000" cy="180000"/>
                  <wp:effectExtent l="0" t="0" r="0" b="0"/>
                  <wp:docPr id="21" name="Graphic 21"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083BFB8C"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58DBEDBB" w14:textId="77777777" w:rsidR="009A6C55" w:rsidRPr="0025275D" w:rsidRDefault="009A6C55" w:rsidP="00D7267E">
            <w:pPr>
              <w:keepNext/>
              <w:spacing w:after="0"/>
              <w:jc w:val="left"/>
              <w:rPr>
                <w:color w:val="002060"/>
                <w:sz w:val="18"/>
              </w:rPr>
            </w:pPr>
            <w:r>
              <w:rPr>
                <w:color w:val="002060"/>
                <w:sz w:val="18"/>
              </w:rPr>
              <w:t>Ο αιτών διαθέτει έγκυρο αριθμό EORI</w:t>
            </w:r>
          </w:p>
        </w:tc>
      </w:tr>
      <w:tr w:rsidR="009A6C55" w:rsidRPr="0025275D" w14:paraId="7D7C5C49" w14:textId="77777777" w:rsidTr="00E61EC1">
        <w:trPr>
          <w:trHeight w:val="454"/>
          <w:jc w:val="center"/>
        </w:trPr>
        <w:tc>
          <w:tcPr>
            <w:tcW w:w="5000" w:type="pct"/>
            <w:gridSpan w:val="2"/>
            <w:vAlign w:val="center"/>
          </w:tcPr>
          <w:p w14:paraId="002DF0D2" w14:textId="77777777" w:rsidR="009A6C55" w:rsidRPr="0025275D" w:rsidRDefault="009A6C55"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r w:rsidR="00E61EC1" w:rsidRPr="0025275D" w14:paraId="6A8CEDA5"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324DB7B2" w14:textId="70D23899" w:rsidR="00E61EC1" w:rsidRPr="0025275D" w:rsidRDefault="00E61EC1" w:rsidP="00D7267E">
            <w:pPr>
              <w:keepNext/>
              <w:spacing w:after="0"/>
              <w:jc w:val="left"/>
              <w:rPr>
                <w:color w:val="002060"/>
                <w:sz w:val="18"/>
              </w:rPr>
            </w:pPr>
            <w:r>
              <w:rPr>
                <w:color w:val="002060"/>
                <w:sz w:val="18"/>
              </w:rPr>
              <w:t>Η αίτηση υποβάλλεται στην αρμόδια τελωνειακή αρχή του τόπου όπου τα εμπορεύματα πρόκειται να υποστούν εργασίες τελειοποίησης για πρώτη φορά</w:t>
            </w:r>
          </w:p>
        </w:tc>
      </w:tr>
    </w:tbl>
    <w:p w14:paraId="26ED5EF9" w14:textId="4C7C4FEA" w:rsidR="009A6C55" w:rsidRDefault="009A6C55" w:rsidP="009A6C55">
      <w:pPr>
        <w:pStyle w:val="Caption"/>
      </w:pPr>
      <w:bookmarkStart w:id="10" w:name="_Ref470180151"/>
      <w:r>
        <w:t>Πίνακας </w:t>
      </w:r>
      <w:r>
        <w:rPr>
          <w:noProof/>
        </w:rPr>
        <w:fldChar w:fldCharType="begin"/>
      </w:r>
      <w:r>
        <w:rPr>
          <w:noProof/>
        </w:rPr>
        <w:instrText xml:space="preserve"> SEQ Table \* ARABIC </w:instrText>
      </w:r>
      <w:r>
        <w:rPr>
          <w:noProof/>
        </w:rPr>
        <w:fldChar w:fldCharType="separate"/>
      </w:r>
      <w:r>
        <w:rPr>
          <w:noProof/>
        </w:rPr>
        <w:t>8</w:t>
      </w:r>
      <w:r>
        <w:rPr>
          <w:noProof/>
        </w:rPr>
        <w:fldChar w:fldCharType="end"/>
      </w:r>
      <w:bookmarkEnd w:id="10"/>
      <w:r>
        <w:t xml:space="preserve"> Προϋποθέσεις που επαληθεύονται από το σύστημα - Τελειοποίηση προς επανεξαγωγή</w:t>
      </w:r>
    </w:p>
    <w:p w14:paraId="4DCD7B58" w14:textId="1F170E35" w:rsidR="009A3AC4" w:rsidRDefault="00C05C2C" w:rsidP="002366C0">
      <w:pPr>
        <w:pStyle w:val="Heading4"/>
      </w:pPr>
      <w:r>
        <w:t xml:space="preserve"> Άδεια για χρήση καθεστώτος τελειοποίησης προς επανεισαγωγή</w:t>
      </w:r>
    </w:p>
    <w:p w14:paraId="03579E76" w14:textId="624FA74C" w:rsidR="009A6C55" w:rsidRDefault="009A6C55" w:rsidP="009A6C55">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_Ref470180156 \h </w:instrText>
      </w:r>
      <w:r>
        <w:fldChar w:fldCharType="separate"/>
      </w:r>
      <w:r w:rsidR="0007507A">
        <w:t>Πίνακα</w:t>
      </w:r>
      <w:r>
        <w:t xml:space="preserve"> </w:t>
      </w:r>
      <w:r>
        <w:rPr>
          <w:noProof/>
        </w:rPr>
        <w:t>9</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_Ref470180157 \h </w:instrText>
      </w:r>
      <w:r>
        <w:fldChar w:fldCharType="separate"/>
      </w:r>
      <w:r w:rsidR="0007507A">
        <w:t>Πίνακα</w:t>
      </w:r>
      <w:r>
        <w:t xml:space="preserve"> </w:t>
      </w:r>
      <w:r>
        <w:rPr>
          <w:noProof/>
        </w:rPr>
        <w:t>10</w:t>
      </w:r>
      <w:r>
        <w:fldChar w:fldCharType="end"/>
      </w:r>
      <w:r>
        <w:t>.</w:t>
      </w:r>
    </w:p>
    <w:p w14:paraId="5366D801" w14:textId="22DA0172" w:rsidR="009A6C55" w:rsidRDefault="009A6C55" w:rsidP="00AD5B79">
      <w:pPr>
        <w:pStyle w:val="ListParagraph"/>
        <w:numPr>
          <w:ilvl w:val="0"/>
          <w:numId w:val="8"/>
        </w:numPr>
        <w:ind w:left="568" w:hanging="284"/>
        <w:contextualSpacing w:val="0"/>
      </w:pPr>
      <w:r>
        <w:t>Άδεια για χρήση καθεστώτος τελειοποίησης προς επανεισαγωγή.</w:t>
      </w:r>
    </w:p>
    <w:tbl>
      <w:tblPr>
        <w:tblStyle w:val="GridTable5Dark-Accent61"/>
        <w:tblW w:w="5000" w:type="pct"/>
        <w:tblLook w:val="0420" w:firstRow="1" w:lastRow="0" w:firstColumn="0" w:lastColumn="0" w:noHBand="0" w:noVBand="1"/>
      </w:tblPr>
      <w:tblGrid>
        <w:gridCol w:w="7115"/>
        <w:gridCol w:w="2173"/>
      </w:tblGrid>
      <w:tr w:rsidR="00B50B7C" w14:paraId="515BE989"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2059C4EE"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2EE4A02D" w14:textId="27A3F365" w:rsidR="00B50B7C" w:rsidRDefault="00B50B7C" w:rsidP="00BA3F4E">
            <w:pPr>
              <w:keepNext/>
              <w:spacing w:after="0"/>
              <w:jc w:val="center"/>
            </w:pPr>
            <w:r>
              <w:t>OPO</w:t>
            </w:r>
          </w:p>
          <w:p w14:paraId="13E19D4A" w14:textId="77777777" w:rsidR="00B50B7C" w:rsidRDefault="00B50B7C" w:rsidP="00BA3F4E">
            <w:pPr>
              <w:keepNext/>
              <w:spacing w:after="0"/>
              <w:jc w:val="center"/>
            </w:pPr>
            <w:r>
              <w:rPr>
                <w:noProof/>
                <w:lang w:val="en-GB" w:eastAsia="en-GB" w:bidi="ar-SA"/>
              </w:rPr>
              <w:drawing>
                <wp:inline distT="0" distB="0" distL="0" distR="0" wp14:anchorId="4E1B1BD0" wp14:editId="0106DBC0">
                  <wp:extent cx="179705" cy="179705"/>
                  <wp:effectExtent l="0" t="0" r="0" b="0"/>
                  <wp:docPr id="7" name="Graphic 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72291ABC"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5895FB3"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9A6C55" w:rsidRPr="0025275D" w14:paraId="73936302" w14:textId="77777777" w:rsidTr="00E61EC1">
        <w:trPr>
          <w:trHeight w:val="454"/>
        </w:trPr>
        <w:tc>
          <w:tcPr>
            <w:tcW w:w="5000" w:type="pct"/>
            <w:gridSpan w:val="2"/>
            <w:vAlign w:val="center"/>
          </w:tcPr>
          <w:p w14:paraId="2DF38DCB"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9A6C55" w:rsidRPr="0025275D" w14:paraId="53C97708"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784A41C1"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9A6C55" w:rsidRPr="0025275D" w14:paraId="56C71D05" w14:textId="77777777" w:rsidTr="00E61EC1">
        <w:trPr>
          <w:trHeight w:val="454"/>
        </w:trPr>
        <w:tc>
          <w:tcPr>
            <w:tcW w:w="5000" w:type="pct"/>
            <w:gridSpan w:val="2"/>
            <w:vAlign w:val="center"/>
          </w:tcPr>
          <w:p w14:paraId="72E859BA"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09BE0DB6" w14:textId="73DD25B8" w:rsidR="009A6C55" w:rsidRDefault="009A6C55" w:rsidP="009A6C55">
      <w:pPr>
        <w:pStyle w:val="Caption"/>
      </w:pPr>
      <w:bookmarkStart w:id="11" w:name="_Ref470180156"/>
      <w:r>
        <w:t>Πίνακας </w:t>
      </w:r>
      <w:r>
        <w:rPr>
          <w:noProof/>
        </w:rPr>
        <w:fldChar w:fldCharType="begin"/>
      </w:r>
      <w:r>
        <w:rPr>
          <w:noProof/>
        </w:rPr>
        <w:instrText xml:space="preserve"> SEQ Table \* ARABIC </w:instrText>
      </w:r>
      <w:r>
        <w:rPr>
          <w:noProof/>
        </w:rPr>
        <w:fldChar w:fldCharType="separate"/>
      </w:r>
      <w:r>
        <w:rPr>
          <w:noProof/>
        </w:rPr>
        <w:t>9</w:t>
      </w:r>
      <w:r>
        <w:rPr>
          <w:noProof/>
        </w:rPr>
        <w:fldChar w:fldCharType="end"/>
      </w:r>
      <w:bookmarkEnd w:id="11"/>
      <w:r>
        <w:t xml:space="preserve"> Προϋποθέσεις προς επαλήθευση από τις τελωνειακές αρχές - Τελειοποίηση προς επανεισαγωγή</w:t>
      </w:r>
    </w:p>
    <w:p w14:paraId="5B20A481"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6A074642"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18620659"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039A52A3" w14:textId="625D8F37" w:rsidR="00B50B7C" w:rsidRDefault="00B50B7C" w:rsidP="00BA3F4E">
            <w:pPr>
              <w:keepNext/>
              <w:spacing w:after="0"/>
              <w:jc w:val="center"/>
            </w:pPr>
            <w:r>
              <w:t>OPO</w:t>
            </w:r>
          </w:p>
          <w:p w14:paraId="5260E392"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341F333C" wp14:editId="2BFD55CC">
                  <wp:extent cx="180000" cy="180000"/>
                  <wp:effectExtent l="0" t="0" r="0" b="0"/>
                  <wp:docPr id="22" name="Graphic 22"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2EC31B6C"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10949274" w14:textId="77777777" w:rsidR="009A6C55" w:rsidRPr="0025275D" w:rsidRDefault="009A6C55" w:rsidP="00D7267E">
            <w:pPr>
              <w:keepNext/>
              <w:spacing w:after="0"/>
              <w:jc w:val="left"/>
              <w:rPr>
                <w:color w:val="002060"/>
                <w:sz w:val="18"/>
              </w:rPr>
            </w:pPr>
            <w:r>
              <w:rPr>
                <w:color w:val="002060"/>
                <w:sz w:val="18"/>
              </w:rPr>
              <w:t>Ο αιτών διαθέτει έγκυρο αριθμό EORI</w:t>
            </w:r>
          </w:p>
        </w:tc>
      </w:tr>
      <w:tr w:rsidR="009A6C55" w:rsidRPr="0025275D" w14:paraId="28DADC0E" w14:textId="77777777" w:rsidTr="00E61EC1">
        <w:trPr>
          <w:trHeight w:val="454"/>
          <w:jc w:val="center"/>
        </w:trPr>
        <w:tc>
          <w:tcPr>
            <w:tcW w:w="5000" w:type="pct"/>
            <w:gridSpan w:val="2"/>
            <w:vAlign w:val="center"/>
          </w:tcPr>
          <w:p w14:paraId="0DFFC951" w14:textId="77777777" w:rsidR="009A6C55" w:rsidRPr="0025275D" w:rsidRDefault="009A6C55"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6F38BE54" w14:textId="7EA36B34" w:rsidR="009A6C55" w:rsidRDefault="009A6C55" w:rsidP="009A6C55">
      <w:pPr>
        <w:pStyle w:val="Caption"/>
      </w:pPr>
      <w:bookmarkStart w:id="12" w:name="_Ref470180157"/>
      <w:r>
        <w:t>Πίνακας </w:t>
      </w:r>
      <w:r>
        <w:rPr>
          <w:noProof/>
        </w:rPr>
        <w:fldChar w:fldCharType="begin"/>
      </w:r>
      <w:r>
        <w:rPr>
          <w:noProof/>
        </w:rPr>
        <w:instrText xml:space="preserve"> SEQ Table \* ARABIC </w:instrText>
      </w:r>
      <w:r>
        <w:rPr>
          <w:noProof/>
        </w:rPr>
        <w:fldChar w:fldCharType="separate"/>
      </w:r>
      <w:r>
        <w:rPr>
          <w:noProof/>
        </w:rPr>
        <w:t>10</w:t>
      </w:r>
      <w:r>
        <w:rPr>
          <w:noProof/>
        </w:rPr>
        <w:fldChar w:fldCharType="end"/>
      </w:r>
      <w:bookmarkEnd w:id="12"/>
      <w:r>
        <w:t xml:space="preserve"> Προϋποθέσεις που επαληθεύονται από το σύστημα - Τελειοποίηση προς επανεισαγωγή</w:t>
      </w:r>
    </w:p>
    <w:p w14:paraId="5F01AB9E" w14:textId="71EF3632" w:rsidR="009A3AC4" w:rsidRDefault="009A3AC4" w:rsidP="002366C0">
      <w:pPr>
        <w:pStyle w:val="Heading4"/>
      </w:pPr>
      <w:r>
        <w:t>Άδεια για την εφαρμογή καθεστώτος ειδικού προορισμού</w:t>
      </w:r>
    </w:p>
    <w:p w14:paraId="459D5F16" w14:textId="0B786C81" w:rsidR="009A6C55" w:rsidRDefault="009A6C55" w:rsidP="009A6C55">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_Ref470180162 \h </w:instrText>
      </w:r>
      <w:r>
        <w:fldChar w:fldCharType="separate"/>
      </w:r>
      <w:r w:rsidR="0007507A">
        <w:t>Πίνακα</w:t>
      </w:r>
      <w:r>
        <w:t xml:space="preserve"> </w:t>
      </w:r>
      <w:r>
        <w:rPr>
          <w:noProof/>
        </w:rPr>
        <w:t>11</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_Ref470180173 \h </w:instrText>
      </w:r>
      <w:r>
        <w:fldChar w:fldCharType="separate"/>
      </w:r>
      <w:r w:rsidR="0007507A">
        <w:t>Πίνακα</w:t>
      </w:r>
      <w:r>
        <w:t xml:space="preserve"> </w:t>
      </w:r>
      <w:r>
        <w:rPr>
          <w:noProof/>
        </w:rPr>
        <w:t>12</w:t>
      </w:r>
      <w:r>
        <w:fldChar w:fldCharType="end"/>
      </w:r>
      <w:r>
        <w:t>.</w:t>
      </w:r>
    </w:p>
    <w:p w14:paraId="4155AF93" w14:textId="2F481AC4" w:rsidR="009A6C55" w:rsidRDefault="009A6C55" w:rsidP="00AD5B79">
      <w:pPr>
        <w:pStyle w:val="ListParagraph"/>
        <w:numPr>
          <w:ilvl w:val="0"/>
          <w:numId w:val="8"/>
        </w:numPr>
        <w:ind w:left="568" w:hanging="284"/>
        <w:contextualSpacing w:val="0"/>
      </w:pPr>
      <w:r>
        <w:t>Άδεια για την εφαρμογή καθεστώτος ειδικού προορισμού.</w:t>
      </w:r>
    </w:p>
    <w:tbl>
      <w:tblPr>
        <w:tblStyle w:val="GridTable5Dark-Accent61"/>
        <w:tblW w:w="5000" w:type="pct"/>
        <w:tblLook w:val="0420" w:firstRow="1" w:lastRow="0" w:firstColumn="0" w:lastColumn="0" w:noHBand="0" w:noVBand="1"/>
      </w:tblPr>
      <w:tblGrid>
        <w:gridCol w:w="7115"/>
        <w:gridCol w:w="2173"/>
      </w:tblGrid>
      <w:tr w:rsidR="00B50B7C" w14:paraId="36558396"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0B7ECD01"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1A8B4A00" w14:textId="34D53E82" w:rsidR="00B50B7C" w:rsidRDefault="00B50B7C" w:rsidP="00BA3F4E">
            <w:pPr>
              <w:keepNext/>
              <w:spacing w:after="0"/>
              <w:jc w:val="center"/>
            </w:pPr>
            <w:r>
              <w:t>EUS</w:t>
            </w:r>
          </w:p>
          <w:p w14:paraId="6CA2A309" w14:textId="77777777" w:rsidR="00B50B7C" w:rsidRDefault="00B50B7C" w:rsidP="00BA3F4E">
            <w:pPr>
              <w:keepNext/>
              <w:spacing w:after="0"/>
              <w:jc w:val="center"/>
            </w:pPr>
            <w:r>
              <w:rPr>
                <w:noProof/>
                <w:lang w:val="en-GB" w:eastAsia="en-GB" w:bidi="ar-SA"/>
              </w:rPr>
              <w:drawing>
                <wp:inline distT="0" distB="0" distL="0" distR="0" wp14:anchorId="09A5D9F4" wp14:editId="3AA70B8E">
                  <wp:extent cx="179705" cy="179705"/>
                  <wp:effectExtent l="0" t="0" r="0" b="0"/>
                  <wp:docPr id="8" name="Graphic 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3FDC8ECD"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5232202"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9A6C55" w:rsidRPr="0025275D" w14:paraId="5E5222F2" w14:textId="77777777" w:rsidTr="00E61EC1">
        <w:trPr>
          <w:trHeight w:val="454"/>
        </w:trPr>
        <w:tc>
          <w:tcPr>
            <w:tcW w:w="5000" w:type="pct"/>
            <w:gridSpan w:val="2"/>
            <w:vAlign w:val="center"/>
          </w:tcPr>
          <w:p w14:paraId="0B5F33C7"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9A6C55" w:rsidRPr="0025275D" w14:paraId="5913742F"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0138CF6"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9A6C55" w:rsidRPr="0025275D" w14:paraId="418D03C1" w14:textId="77777777" w:rsidTr="00E61EC1">
        <w:trPr>
          <w:trHeight w:val="454"/>
        </w:trPr>
        <w:tc>
          <w:tcPr>
            <w:tcW w:w="5000" w:type="pct"/>
            <w:gridSpan w:val="2"/>
            <w:vAlign w:val="center"/>
          </w:tcPr>
          <w:p w14:paraId="5A5D1F77"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671EF596" w14:textId="4C85C20A" w:rsidR="009A6C55" w:rsidRDefault="009A6C55" w:rsidP="009A6C55">
      <w:pPr>
        <w:pStyle w:val="Caption"/>
      </w:pPr>
      <w:bookmarkStart w:id="13" w:name="_Ref470180162"/>
      <w:r>
        <w:t>Πίνακας </w:t>
      </w:r>
      <w:r>
        <w:rPr>
          <w:noProof/>
        </w:rPr>
        <w:fldChar w:fldCharType="begin"/>
      </w:r>
      <w:r>
        <w:rPr>
          <w:noProof/>
        </w:rPr>
        <w:instrText xml:space="preserve"> SEQ Table \* ARABIC </w:instrText>
      </w:r>
      <w:r>
        <w:rPr>
          <w:noProof/>
        </w:rPr>
        <w:fldChar w:fldCharType="separate"/>
      </w:r>
      <w:r>
        <w:rPr>
          <w:noProof/>
        </w:rPr>
        <w:t>11</w:t>
      </w:r>
      <w:r>
        <w:rPr>
          <w:noProof/>
        </w:rPr>
        <w:fldChar w:fldCharType="end"/>
      </w:r>
      <w:bookmarkEnd w:id="13"/>
      <w:r>
        <w:t xml:space="preserve"> Προϋποθέσεις προς επαλήθευση από τις τελωνειακές αρχές – Ειδικός προορισμός</w:t>
      </w:r>
    </w:p>
    <w:p w14:paraId="29C0709B"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7E3CC670"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0BDAACF8"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5F2A56DF" w14:textId="7D8F3967" w:rsidR="00B50B7C" w:rsidRDefault="00B50B7C" w:rsidP="00BA3F4E">
            <w:pPr>
              <w:keepNext/>
              <w:spacing w:after="0"/>
              <w:jc w:val="center"/>
            </w:pPr>
            <w:r>
              <w:t>EUS</w:t>
            </w:r>
          </w:p>
          <w:p w14:paraId="76538C5D"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7C95C439" wp14:editId="1895C38F">
                  <wp:extent cx="180000" cy="180000"/>
                  <wp:effectExtent l="0" t="0" r="0" b="0"/>
                  <wp:docPr id="23" name="Graphic 23"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52816668"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B2A5811" w14:textId="77777777" w:rsidR="009A6C55" w:rsidRPr="0025275D" w:rsidRDefault="009A6C55" w:rsidP="00D7267E">
            <w:pPr>
              <w:keepNext/>
              <w:spacing w:after="0"/>
              <w:jc w:val="left"/>
              <w:rPr>
                <w:color w:val="002060"/>
                <w:sz w:val="18"/>
              </w:rPr>
            </w:pPr>
            <w:r>
              <w:rPr>
                <w:color w:val="002060"/>
                <w:sz w:val="18"/>
              </w:rPr>
              <w:t>Ο αιτών διαθέτει έγκυρο αριθμό EORI</w:t>
            </w:r>
          </w:p>
        </w:tc>
      </w:tr>
      <w:tr w:rsidR="009A6C55" w:rsidRPr="0025275D" w14:paraId="179D85A4" w14:textId="77777777" w:rsidTr="00E61EC1">
        <w:trPr>
          <w:trHeight w:val="454"/>
          <w:jc w:val="center"/>
        </w:trPr>
        <w:tc>
          <w:tcPr>
            <w:tcW w:w="5000" w:type="pct"/>
            <w:gridSpan w:val="2"/>
            <w:vAlign w:val="center"/>
          </w:tcPr>
          <w:p w14:paraId="494282B7" w14:textId="77777777" w:rsidR="009A6C55" w:rsidRPr="0025275D" w:rsidRDefault="009A6C55"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r w:rsidR="00E61EC1" w:rsidRPr="0025275D" w14:paraId="6D04186E"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28EB7C16" w14:textId="75CBF10B" w:rsidR="00E61EC1" w:rsidRPr="0025275D" w:rsidRDefault="00E61EC1" w:rsidP="00D7267E">
            <w:pPr>
              <w:keepNext/>
              <w:spacing w:after="0"/>
              <w:jc w:val="left"/>
              <w:rPr>
                <w:color w:val="002060"/>
                <w:sz w:val="18"/>
              </w:rPr>
            </w:pPr>
            <w:r>
              <w:rPr>
                <w:color w:val="002060"/>
                <w:sz w:val="18"/>
              </w:rPr>
              <w:t>Ο αιτών υποβάλει την αίτηση στην αρμόδια τελωνειακή αρχή του τόπου όπου πρόκειται να χρησιμοποιηθούν τα εμπορεύματα για πρώτη φορά</w:t>
            </w:r>
          </w:p>
        </w:tc>
      </w:tr>
    </w:tbl>
    <w:p w14:paraId="111CB248" w14:textId="4347A4BE" w:rsidR="009A6C55" w:rsidRDefault="009A6C55" w:rsidP="009A6C55">
      <w:pPr>
        <w:pStyle w:val="Caption"/>
      </w:pPr>
      <w:bookmarkStart w:id="14" w:name="_Ref470180173"/>
      <w:r>
        <w:t>Πίνακας </w:t>
      </w:r>
      <w:r>
        <w:rPr>
          <w:noProof/>
        </w:rPr>
        <w:fldChar w:fldCharType="begin"/>
      </w:r>
      <w:r>
        <w:rPr>
          <w:noProof/>
        </w:rPr>
        <w:instrText xml:space="preserve"> SEQ Table \* ARABIC </w:instrText>
      </w:r>
      <w:r>
        <w:rPr>
          <w:noProof/>
        </w:rPr>
        <w:fldChar w:fldCharType="separate"/>
      </w:r>
      <w:r>
        <w:rPr>
          <w:noProof/>
        </w:rPr>
        <w:t>12</w:t>
      </w:r>
      <w:r>
        <w:rPr>
          <w:noProof/>
        </w:rPr>
        <w:fldChar w:fldCharType="end"/>
      </w:r>
      <w:bookmarkEnd w:id="14"/>
      <w:r>
        <w:t xml:space="preserve"> Προϋποθέσεις που επαληθεύονται από το σύστημα – Ειδικός προορισμός</w:t>
      </w:r>
    </w:p>
    <w:p w14:paraId="5E21C5A2" w14:textId="79C12CE1" w:rsidR="009A3AC4" w:rsidRDefault="009A3AC4" w:rsidP="002366C0">
      <w:pPr>
        <w:pStyle w:val="Heading4"/>
      </w:pPr>
      <w:r>
        <w:t>Άδεια για την εφαρμογή καθεστώτος προσωρινής εισαγωγής</w:t>
      </w:r>
    </w:p>
    <w:p w14:paraId="34FEE37B" w14:textId="00AB5B8C" w:rsidR="009A6C55" w:rsidRDefault="009A6C55" w:rsidP="009A6C55">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_Ref470180180 \h </w:instrText>
      </w:r>
      <w:r>
        <w:fldChar w:fldCharType="separate"/>
      </w:r>
      <w:r w:rsidR="0007507A">
        <w:t>Πίνακα</w:t>
      </w:r>
      <w:r>
        <w:t xml:space="preserve"> </w:t>
      </w:r>
      <w:r>
        <w:rPr>
          <w:noProof/>
        </w:rPr>
        <w:t>13</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_Ref470180181 \h </w:instrText>
      </w:r>
      <w:r>
        <w:fldChar w:fldCharType="separate"/>
      </w:r>
      <w:r w:rsidR="0007507A">
        <w:t>Πίνακα</w:t>
      </w:r>
      <w:r>
        <w:t xml:space="preserve"> </w:t>
      </w:r>
      <w:r>
        <w:rPr>
          <w:noProof/>
        </w:rPr>
        <w:t>14</w:t>
      </w:r>
      <w:r>
        <w:fldChar w:fldCharType="end"/>
      </w:r>
      <w:r>
        <w:t>.</w:t>
      </w:r>
    </w:p>
    <w:p w14:paraId="3169BEC6" w14:textId="5BB48139" w:rsidR="009A6C55" w:rsidRDefault="009A6C55" w:rsidP="00AD5B79">
      <w:pPr>
        <w:pStyle w:val="ListParagraph"/>
        <w:numPr>
          <w:ilvl w:val="0"/>
          <w:numId w:val="8"/>
        </w:numPr>
        <w:ind w:left="568" w:hanging="284"/>
        <w:contextualSpacing w:val="0"/>
      </w:pPr>
      <w:r>
        <w:t>Άδεια για την εφαρμογή καθεστώτος προσωρινής εισαγωγής.</w:t>
      </w:r>
    </w:p>
    <w:tbl>
      <w:tblPr>
        <w:tblStyle w:val="GridTable5Dark-Accent61"/>
        <w:tblW w:w="5000" w:type="pct"/>
        <w:tblLook w:val="0420" w:firstRow="1" w:lastRow="0" w:firstColumn="0" w:lastColumn="0" w:noHBand="0" w:noVBand="1"/>
      </w:tblPr>
      <w:tblGrid>
        <w:gridCol w:w="7115"/>
        <w:gridCol w:w="2173"/>
      </w:tblGrid>
      <w:tr w:rsidR="00B50B7C" w14:paraId="28BEC014"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5291B798"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3B3D1FE1" w14:textId="09F07031" w:rsidR="00B50B7C" w:rsidRDefault="00B50B7C" w:rsidP="00BA3F4E">
            <w:pPr>
              <w:keepNext/>
              <w:spacing w:after="0"/>
              <w:jc w:val="center"/>
            </w:pPr>
            <w:r>
              <w:t>TEA</w:t>
            </w:r>
          </w:p>
          <w:p w14:paraId="32FCD687" w14:textId="77777777" w:rsidR="00B50B7C" w:rsidRDefault="00B50B7C" w:rsidP="00BA3F4E">
            <w:pPr>
              <w:keepNext/>
              <w:spacing w:after="0"/>
              <w:jc w:val="center"/>
            </w:pPr>
            <w:r>
              <w:rPr>
                <w:noProof/>
                <w:lang w:val="en-GB" w:eastAsia="en-GB" w:bidi="ar-SA"/>
              </w:rPr>
              <w:drawing>
                <wp:inline distT="0" distB="0" distL="0" distR="0" wp14:anchorId="38DB7A3C" wp14:editId="56ED27C3">
                  <wp:extent cx="179705" cy="179705"/>
                  <wp:effectExtent l="0" t="0" r="0" b="0"/>
                  <wp:docPr id="9" name="Graphic 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9A6C55" w:rsidRPr="0025275D" w14:paraId="05302B69"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D558730"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9A6C55" w:rsidRPr="0025275D" w14:paraId="6494FAA8" w14:textId="77777777" w:rsidTr="00E61EC1">
        <w:trPr>
          <w:trHeight w:val="454"/>
        </w:trPr>
        <w:tc>
          <w:tcPr>
            <w:tcW w:w="5000" w:type="pct"/>
            <w:gridSpan w:val="2"/>
            <w:vAlign w:val="center"/>
          </w:tcPr>
          <w:p w14:paraId="23FE0F12" w14:textId="77777777" w:rsidR="009A6C55" w:rsidRPr="0025275D" w:rsidRDefault="009A6C55"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bl>
    <w:p w14:paraId="0A544D18" w14:textId="591B96E0" w:rsidR="009A6C55" w:rsidRDefault="009A6C55" w:rsidP="009A6C55">
      <w:pPr>
        <w:pStyle w:val="Caption"/>
      </w:pPr>
      <w:bookmarkStart w:id="15" w:name="_Ref470180180"/>
      <w:r>
        <w:t>Πίνακας </w:t>
      </w:r>
      <w:r>
        <w:rPr>
          <w:noProof/>
        </w:rPr>
        <w:fldChar w:fldCharType="begin"/>
      </w:r>
      <w:r>
        <w:rPr>
          <w:noProof/>
        </w:rPr>
        <w:instrText xml:space="preserve"> SEQ Table \* ARABIC </w:instrText>
      </w:r>
      <w:r>
        <w:rPr>
          <w:noProof/>
        </w:rPr>
        <w:fldChar w:fldCharType="separate"/>
      </w:r>
      <w:r>
        <w:rPr>
          <w:noProof/>
        </w:rPr>
        <w:t>13</w:t>
      </w:r>
      <w:r>
        <w:rPr>
          <w:noProof/>
        </w:rPr>
        <w:fldChar w:fldCharType="end"/>
      </w:r>
      <w:bookmarkEnd w:id="15"/>
      <w:r>
        <w:t xml:space="preserve"> Προϋποθέσεις προς επαλήθευση από τις τελωνειακές αρχές – Προσωρινή εισαγωγή</w:t>
      </w:r>
    </w:p>
    <w:p w14:paraId="5F1E354F" w14:textId="77777777" w:rsidR="009A6C55" w:rsidRPr="006531B1" w:rsidRDefault="009A6C55" w:rsidP="009A6C55"/>
    <w:tbl>
      <w:tblPr>
        <w:tblStyle w:val="GridTable5Dark-Accent51"/>
        <w:tblW w:w="5000" w:type="pct"/>
        <w:jc w:val="center"/>
        <w:tblLook w:val="0420" w:firstRow="1" w:lastRow="0" w:firstColumn="0" w:lastColumn="0" w:noHBand="0" w:noVBand="1"/>
      </w:tblPr>
      <w:tblGrid>
        <w:gridCol w:w="7115"/>
        <w:gridCol w:w="2173"/>
      </w:tblGrid>
      <w:tr w:rsidR="00B50B7C" w14:paraId="596B64BA"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3991D1AD"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2A25A587" w14:textId="31AF7561" w:rsidR="00B50B7C" w:rsidRDefault="00B50B7C" w:rsidP="00BA3F4E">
            <w:pPr>
              <w:keepNext/>
              <w:spacing w:after="0"/>
              <w:jc w:val="center"/>
            </w:pPr>
            <w:r>
              <w:t>TEA</w:t>
            </w:r>
          </w:p>
          <w:p w14:paraId="014BF10E"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080407B8" wp14:editId="1DA8DC1D">
                  <wp:extent cx="180000" cy="180000"/>
                  <wp:effectExtent l="0" t="0" r="0" b="0"/>
                  <wp:docPr id="24" name="Graphic 24"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9A6C55" w:rsidRPr="0025275D" w14:paraId="67EF904A"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7CD73A96" w14:textId="77777777" w:rsidR="009A6C55" w:rsidRPr="0025275D" w:rsidRDefault="009A6C55" w:rsidP="00D7267E">
            <w:pPr>
              <w:keepNext/>
              <w:spacing w:after="0"/>
              <w:jc w:val="left"/>
              <w:rPr>
                <w:color w:val="002060"/>
                <w:sz w:val="18"/>
              </w:rPr>
            </w:pPr>
            <w:r>
              <w:rPr>
                <w:color w:val="002060"/>
                <w:sz w:val="18"/>
              </w:rPr>
              <w:t>Ο αιτών διαθέτει έγκυρο αριθμό EORI</w:t>
            </w:r>
          </w:p>
        </w:tc>
      </w:tr>
      <w:tr w:rsidR="009A6C55" w:rsidRPr="0025275D" w14:paraId="6BCE2940" w14:textId="77777777" w:rsidTr="00E61EC1">
        <w:trPr>
          <w:trHeight w:val="454"/>
          <w:jc w:val="center"/>
        </w:trPr>
        <w:tc>
          <w:tcPr>
            <w:tcW w:w="5000" w:type="pct"/>
            <w:gridSpan w:val="2"/>
            <w:vAlign w:val="center"/>
          </w:tcPr>
          <w:p w14:paraId="6C7F5433" w14:textId="3A15656A" w:rsidR="009A6C55" w:rsidRPr="0025275D" w:rsidRDefault="00E61EC1" w:rsidP="00D7267E">
            <w:pPr>
              <w:keepNext/>
              <w:spacing w:after="0"/>
              <w:jc w:val="left"/>
              <w:rPr>
                <w:color w:val="002060"/>
                <w:sz w:val="18"/>
              </w:rPr>
            </w:pPr>
            <w:r>
              <w:rPr>
                <w:color w:val="002060"/>
                <w:sz w:val="18"/>
              </w:rPr>
              <w:t>Ο αιτών υποβάλει την αίτηση στην αρμόδια τελωνειακή αρχή του τόπου όπου πρόκειται να χρησιμοποιηθούν τα εμπορεύματα για πρώτη φορά</w:t>
            </w:r>
          </w:p>
        </w:tc>
      </w:tr>
    </w:tbl>
    <w:p w14:paraId="5F117ED9" w14:textId="42697D7C" w:rsidR="009A6C55" w:rsidRDefault="009A6C55" w:rsidP="009A6C55">
      <w:pPr>
        <w:pStyle w:val="Caption"/>
      </w:pPr>
      <w:bookmarkStart w:id="16" w:name="_Ref470180181"/>
      <w:r>
        <w:t>Πίνακας </w:t>
      </w:r>
      <w:r>
        <w:rPr>
          <w:noProof/>
        </w:rPr>
        <w:fldChar w:fldCharType="begin"/>
      </w:r>
      <w:r>
        <w:rPr>
          <w:noProof/>
        </w:rPr>
        <w:instrText xml:space="preserve"> SEQ Table \* ARABIC </w:instrText>
      </w:r>
      <w:r>
        <w:rPr>
          <w:noProof/>
        </w:rPr>
        <w:fldChar w:fldCharType="separate"/>
      </w:r>
      <w:r>
        <w:rPr>
          <w:noProof/>
        </w:rPr>
        <w:t>14</w:t>
      </w:r>
      <w:r>
        <w:rPr>
          <w:noProof/>
        </w:rPr>
        <w:fldChar w:fldCharType="end"/>
      </w:r>
      <w:bookmarkEnd w:id="16"/>
      <w:r>
        <w:t xml:space="preserve"> Προϋποθέσεις που επαληθεύονται από το σύστημα – Προσωρινή εισαγωγή</w:t>
      </w:r>
    </w:p>
    <w:p w14:paraId="50A7ADA5" w14:textId="77777777" w:rsidR="009A3AC4" w:rsidRDefault="009A3AC4" w:rsidP="002366C0">
      <w:pPr>
        <w:pStyle w:val="Heading3"/>
      </w:pPr>
      <w:r>
        <w:t>Διαμετακόμιση</w:t>
      </w:r>
    </w:p>
    <w:p w14:paraId="4BBD6BF5" w14:textId="347B23ED" w:rsidR="009A3AC4" w:rsidRDefault="009A3AC4" w:rsidP="002366C0">
      <w:pPr>
        <w:pStyle w:val="Heading4"/>
      </w:pPr>
      <w:r>
        <w:t>Άδεια για καθεστώς του εγκεκριμένου παραλήπτη στο πλαίσιο ενωσιακής διαμετακόμισης</w:t>
      </w:r>
    </w:p>
    <w:p w14:paraId="5843EB76" w14:textId="78445190" w:rsidR="00E61EC1" w:rsidRDefault="00E61EC1" w:rsidP="00E61EC1">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_Ref470180186 \h </w:instrText>
      </w:r>
      <w:r>
        <w:fldChar w:fldCharType="separate"/>
      </w:r>
      <w:r w:rsidR="0007507A">
        <w:t>Πίνακα</w:t>
      </w:r>
      <w:r>
        <w:t xml:space="preserve"> </w:t>
      </w:r>
      <w:r>
        <w:rPr>
          <w:noProof/>
        </w:rPr>
        <w:t>15</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_Ref470180200 \h </w:instrText>
      </w:r>
      <w:r>
        <w:fldChar w:fldCharType="separate"/>
      </w:r>
      <w:r w:rsidR="0007507A">
        <w:t>Πίνακα</w:t>
      </w:r>
      <w:r>
        <w:t xml:space="preserve"> </w:t>
      </w:r>
      <w:r>
        <w:rPr>
          <w:noProof/>
        </w:rPr>
        <w:t>16</w:t>
      </w:r>
      <w:r>
        <w:fldChar w:fldCharType="end"/>
      </w:r>
      <w:r>
        <w:t>.</w:t>
      </w:r>
    </w:p>
    <w:p w14:paraId="40ACFAD0" w14:textId="1FAC1E17" w:rsidR="00E61EC1" w:rsidRDefault="00E61EC1" w:rsidP="00AD5B79">
      <w:pPr>
        <w:pStyle w:val="ListParagraph"/>
        <w:numPr>
          <w:ilvl w:val="0"/>
          <w:numId w:val="8"/>
        </w:numPr>
        <w:ind w:left="568" w:hanging="284"/>
        <w:contextualSpacing w:val="0"/>
      </w:pPr>
      <w:r>
        <w:t>Άδεια για το καθεστώς του εγκεκριμένου παραλήπτη στο πλαίσιο ενωσιακής διαμετακόμισης.</w:t>
      </w:r>
    </w:p>
    <w:tbl>
      <w:tblPr>
        <w:tblStyle w:val="GridTable5Dark-Accent61"/>
        <w:tblW w:w="5000" w:type="pct"/>
        <w:tblLook w:val="0420" w:firstRow="1" w:lastRow="0" w:firstColumn="0" w:lastColumn="0" w:noHBand="0" w:noVBand="1"/>
      </w:tblPr>
      <w:tblGrid>
        <w:gridCol w:w="7115"/>
        <w:gridCol w:w="2173"/>
      </w:tblGrid>
      <w:tr w:rsidR="00B50B7C" w14:paraId="7B267A3D"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35A5A4E6"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2EB3D0CA" w14:textId="378F7873" w:rsidR="00B50B7C" w:rsidRDefault="00B50B7C" w:rsidP="00BA3F4E">
            <w:pPr>
              <w:keepNext/>
              <w:spacing w:after="0"/>
              <w:jc w:val="center"/>
            </w:pPr>
            <w:r>
              <w:t>ACE</w:t>
            </w:r>
          </w:p>
          <w:p w14:paraId="435DA8EE" w14:textId="77777777" w:rsidR="00B50B7C" w:rsidRDefault="00B50B7C" w:rsidP="00BA3F4E">
            <w:pPr>
              <w:keepNext/>
              <w:spacing w:after="0"/>
              <w:jc w:val="center"/>
            </w:pPr>
            <w:r>
              <w:rPr>
                <w:noProof/>
                <w:lang w:val="en-GB" w:eastAsia="en-GB" w:bidi="ar-SA"/>
              </w:rPr>
              <w:drawing>
                <wp:inline distT="0" distB="0" distL="0" distR="0" wp14:anchorId="0E2C76D1" wp14:editId="5AD6DEC1">
                  <wp:extent cx="179705" cy="179705"/>
                  <wp:effectExtent l="0" t="0" r="0" b="0"/>
                  <wp:docPr id="10" name="Graphic 1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620DD38F"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DC60DD7"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E61EC1" w:rsidRPr="0025275D" w14:paraId="2FB2E00D" w14:textId="77777777" w:rsidTr="00B44AF6">
        <w:trPr>
          <w:trHeight w:val="454"/>
        </w:trPr>
        <w:tc>
          <w:tcPr>
            <w:tcW w:w="5000" w:type="pct"/>
            <w:gridSpan w:val="2"/>
            <w:vAlign w:val="center"/>
          </w:tcPr>
          <w:p w14:paraId="477A08DD"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B47F52" w:rsidRPr="0025275D" w14:paraId="57FDD46F"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F1C9E9E" w14:textId="3BDAEFB3" w:rsidR="00B47F52" w:rsidRPr="0025275D" w:rsidRDefault="00B47F52" w:rsidP="00D7267E">
            <w:pPr>
              <w:keepNext/>
              <w:spacing w:after="0"/>
              <w:jc w:val="left"/>
              <w:rPr>
                <w:color w:val="385623" w:themeColor="accent6" w:themeShade="80"/>
                <w:sz w:val="18"/>
              </w:rPr>
            </w:pPr>
            <w:r>
              <w:rPr>
                <w:color w:val="385623" w:themeColor="accent6" w:themeShade="80"/>
                <w:sz w:val="18"/>
              </w:rPr>
              <w:t>Η αίτηση υποβάλλεται στο κράτος μέλος στο οποίο πρόκειται να λήξουν οι πράξεις ενωσιακής διαμετακόμισης</w:t>
            </w:r>
          </w:p>
        </w:tc>
      </w:tr>
      <w:tr w:rsidR="00B47F52" w:rsidRPr="0025275D" w14:paraId="3B380465" w14:textId="77777777" w:rsidTr="00B44AF6">
        <w:trPr>
          <w:trHeight w:val="454"/>
        </w:trPr>
        <w:tc>
          <w:tcPr>
            <w:tcW w:w="5000" w:type="pct"/>
            <w:gridSpan w:val="2"/>
            <w:vAlign w:val="center"/>
          </w:tcPr>
          <w:p w14:paraId="43E8209D" w14:textId="73576DB3" w:rsidR="00B47F52" w:rsidRPr="0025275D" w:rsidRDefault="00B47F52" w:rsidP="00D7267E">
            <w:pPr>
              <w:keepNext/>
              <w:spacing w:after="0"/>
              <w:jc w:val="left"/>
              <w:rPr>
                <w:color w:val="385623" w:themeColor="accent6" w:themeShade="80"/>
                <w:sz w:val="18"/>
              </w:rPr>
            </w:pPr>
            <w:r>
              <w:rPr>
                <w:color w:val="385623" w:themeColor="accent6" w:themeShade="80"/>
                <w:sz w:val="18"/>
              </w:rPr>
              <w:t>Ο αιτών παραλαμβάνει τακτικά εμπορεύματα στο πλαίσιο του καθεστώτος της ενωσιακής διαμετακόμισης</w:t>
            </w:r>
          </w:p>
        </w:tc>
      </w:tr>
    </w:tbl>
    <w:p w14:paraId="0FE6AFBA" w14:textId="79F151C9" w:rsidR="00E61EC1" w:rsidRDefault="00E61EC1" w:rsidP="00E61EC1">
      <w:pPr>
        <w:pStyle w:val="Caption"/>
      </w:pPr>
      <w:bookmarkStart w:id="17" w:name="_Ref470180186"/>
      <w:r>
        <w:t>Πίνακας </w:t>
      </w:r>
      <w:r>
        <w:rPr>
          <w:noProof/>
        </w:rPr>
        <w:fldChar w:fldCharType="begin"/>
      </w:r>
      <w:r>
        <w:rPr>
          <w:noProof/>
        </w:rPr>
        <w:instrText xml:space="preserve"> SEQ Table \* ARABIC </w:instrText>
      </w:r>
      <w:r>
        <w:rPr>
          <w:noProof/>
        </w:rPr>
        <w:fldChar w:fldCharType="separate"/>
      </w:r>
      <w:r>
        <w:rPr>
          <w:noProof/>
        </w:rPr>
        <w:t>15</w:t>
      </w:r>
      <w:r>
        <w:rPr>
          <w:noProof/>
        </w:rPr>
        <w:fldChar w:fldCharType="end"/>
      </w:r>
      <w:bookmarkEnd w:id="17"/>
      <w:r>
        <w:t xml:space="preserve"> Προϋποθέσεις προς επαλήθευση από τις τελωνειακές αρχές - Εγκεκριμένος παραλήπτης</w:t>
      </w:r>
    </w:p>
    <w:p w14:paraId="1FF02B38"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6FE8DC6B"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65F918AE"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2034BCCE" w14:textId="2F744B78" w:rsidR="00B50B7C" w:rsidRDefault="00B50B7C" w:rsidP="00BA3F4E">
            <w:pPr>
              <w:keepNext/>
              <w:spacing w:after="0"/>
              <w:jc w:val="center"/>
            </w:pPr>
            <w:r>
              <w:t>ACE</w:t>
            </w:r>
          </w:p>
          <w:p w14:paraId="223BEC66"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535CED21" wp14:editId="2F01F95C">
                  <wp:extent cx="180000" cy="180000"/>
                  <wp:effectExtent l="0" t="0" r="0" b="0"/>
                  <wp:docPr id="25" name="Graphic 25"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038C3EF6"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30CF7D3" w14:textId="77777777" w:rsidR="00E61EC1" w:rsidRPr="0025275D" w:rsidRDefault="00E61EC1" w:rsidP="00D7267E">
            <w:pPr>
              <w:keepNext/>
              <w:spacing w:after="0"/>
              <w:jc w:val="left"/>
              <w:rPr>
                <w:color w:val="002060"/>
                <w:sz w:val="18"/>
              </w:rPr>
            </w:pPr>
            <w:r>
              <w:rPr>
                <w:color w:val="002060"/>
                <w:sz w:val="18"/>
              </w:rPr>
              <w:t>Ο αιτών διαθέτει έγκυρο αριθμό EORI</w:t>
            </w:r>
          </w:p>
        </w:tc>
      </w:tr>
      <w:tr w:rsidR="00E61EC1" w:rsidRPr="0025275D" w14:paraId="6A044A13" w14:textId="77777777" w:rsidTr="00B44AF6">
        <w:trPr>
          <w:trHeight w:val="454"/>
          <w:jc w:val="center"/>
        </w:trPr>
        <w:tc>
          <w:tcPr>
            <w:tcW w:w="5000" w:type="pct"/>
            <w:gridSpan w:val="2"/>
            <w:vAlign w:val="center"/>
          </w:tcPr>
          <w:p w14:paraId="365806A9" w14:textId="77777777" w:rsidR="00E61EC1" w:rsidRPr="0025275D" w:rsidRDefault="00E61EC1"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419A9C16" w14:textId="2DAAE384" w:rsidR="00E61EC1" w:rsidRPr="00530E6B" w:rsidRDefault="00E61EC1" w:rsidP="00E61EC1">
      <w:pPr>
        <w:pStyle w:val="Caption"/>
      </w:pPr>
      <w:bookmarkStart w:id="18" w:name="_Ref470180200"/>
      <w:r>
        <w:t>Πίνακας </w:t>
      </w:r>
      <w:r>
        <w:rPr>
          <w:noProof/>
        </w:rPr>
        <w:fldChar w:fldCharType="begin"/>
      </w:r>
      <w:r>
        <w:rPr>
          <w:noProof/>
        </w:rPr>
        <w:instrText xml:space="preserve"> SEQ Table \* ARABIC </w:instrText>
      </w:r>
      <w:r>
        <w:rPr>
          <w:noProof/>
        </w:rPr>
        <w:fldChar w:fldCharType="separate"/>
      </w:r>
      <w:r>
        <w:rPr>
          <w:noProof/>
        </w:rPr>
        <w:t>16</w:t>
      </w:r>
      <w:r>
        <w:rPr>
          <w:noProof/>
        </w:rPr>
        <w:fldChar w:fldCharType="end"/>
      </w:r>
      <w:bookmarkEnd w:id="18"/>
      <w:r>
        <w:t xml:space="preserve"> Προϋποθέσεις που επαληθεύονται από το σύστημα - Εγκεκριμένος παραλήπτης</w:t>
      </w:r>
    </w:p>
    <w:p w14:paraId="3CE367C0" w14:textId="136174D0" w:rsidR="009A3AC4" w:rsidRDefault="009A3AC4" w:rsidP="002366C0">
      <w:pPr>
        <w:pStyle w:val="Heading4"/>
      </w:pPr>
      <w:r>
        <w:t>Άδεια για καθεστώς του εγκεκριμένου παραλήπτη για τις μεταφορές με δελτίο TIR</w:t>
      </w:r>
    </w:p>
    <w:p w14:paraId="3319C6AE" w14:textId="29F574B7" w:rsidR="00E61EC1" w:rsidRDefault="00E61EC1" w:rsidP="00E61EC1">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_Ref470180206 \h </w:instrText>
      </w:r>
      <w:r>
        <w:fldChar w:fldCharType="separate"/>
      </w:r>
      <w:r w:rsidR="0007507A">
        <w:t>Πίνακα</w:t>
      </w:r>
      <w:r>
        <w:t xml:space="preserve"> </w:t>
      </w:r>
      <w:r>
        <w:rPr>
          <w:noProof/>
        </w:rPr>
        <w:t>17</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_Ref470180207 \h </w:instrText>
      </w:r>
      <w:r>
        <w:fldChar w:fldCharType="separate"/>
      </w:r>
      <w:r w:rsidR="0007507A">
        <w:t>Πίνακα</w:t>
      </w:r>
      <w:r>
        <w:t xml:space="preserve"> </w:t>
      </w:r>
      <w:r>
        <w:rPr>
          <w:noProof/>
        </w:rPr>
        <w:t>18</w:t>
      </w:r>
      <w:r>
        <w:fldChar w:fldCharType="end"/>
      </w:r>
      <w:r>
        <w:t>.</w:t>
      </w:r>
    </w:p>
    <w:p w14:paraId="7EE7DE32" w14:textId="64403A3A" w:rsidR="00E61EC1" w:rsidRDefault="00E61EC1" w:rsidP="00AD5B79">
      <w:pPr>
        <w:pStyle w:val="ListParagraph"/>
        <w:numPr>
          <w:ilvl w:val="0"/>
          <w:numId w:val="8"/>
        </w:numPr>
        <w:ind w:left="568" w:hanging="284"/>
        <w:contextualSpacing w:val="0"/>
      </w:pPr>
      <w:r>
        <w:t>Άδεια για το καθεστώς του εγκεκριμένου παραλήπτη για τις μεταφορές με δελτίο TIR.</w:t>
      </w:r>
    </w:p>
    <w:tbl>
      <w:tblPr>
        <w:tblStyle w:val="GridTable5Dark-Accent61"/>
        <w:tblW w:w="5000" w:type="pct"/>
        <w:tblLook w:val="0420" w:firstRow="1" w:lastRow="0" w:firstColumn="0" w:lastColumn="0" w:noHBand="0" w:noVBand="1"/>
      </w:tblPr>
      <w:tblGrid>
        <w:gridCol w:w="7115"/>
        <w:gridCol w:w="2173"/>
      </w:tblGrid>
      <w:tr w:rsidR="00B50B7C" w14:paraId="4E4ED18A"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7A809120"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314C747C" w14:textId="684F36BF" w:rsidR="00B50B7C" w:rsidRDefault="00B50B7C" w:rsidP="00BA3F4E">
            <w:pPr>
              <w:keepNext/>
              <w:spacing w:after="0"/>
              <w:jc w:val="center"/>
            </w:pPr>
            <w:r>
              <w:t>ACT</w:t>
            </w:r>
          </w:p>
          <w:p w14:paraId="5D1D7643" w14:textId="77777777" w:rsidR="00B50B7C" w:rsidRDefault="00B50B7C" w:rsidP="00BA3F4E">
            <w:pPr>
              <w:keepNext/>
              <w:spacing w:after="0"/>
              <w:jc w:val="center"/>
            </w:pPr>
            <w:r>
              <w:rPr>
                <w:noProof/>
                <w:lang w:val="en-GB" w:eastAsia="en-GB" w:bidi="ar-SA"/>
              </w:rPr>
              <w:drawing>
                <wp:inline distT="0" distB="0" distL="0" distR="0" wp14:anchorId="40C975DF" wp14:editId="0BBBC495">
                  <wp:extent cx="179705" cy="179705"/>
                  <wp:effectExtent l="0" t="0" r="0" b="0"/>
                  <wp:docPr id="11" name="Graphic 1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3B43B4F6"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612D35F"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E61EC1" w:rsidRPr="0025275D" w14:paraId="2A2756C9" w14:textId="77777777" w:rsidTr="00B44AF6">
        <w:trPr>
          <w:trHeight w:val="454"/>
        </w:trPr>
        <w:tc>
          <w:tcPr>
            <w:tcW w:w="5000" w:type="pct"/>
            <w:gridSpan w:val="2"/>
            <w:vAlign w:val="center"/>
          </w:tcPr>
          <w:p w14:paraId="2F8205DA"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B47F52" w:rsidRPr="0025275D" w14:paraId="2CD82213"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6E7FCC0" w14:textId="0CFF982F" w:rsidR="00B47F52" w:rsidRPr="0025275D" w:rsidRDefault="00B47F52" w:rsidP="00D7267E">
            <w:pPr>
              <w:keepNext/>
              <w:spacing w:after="0"/>
              <w:jc w:val="left"/>
              <w:rPr>
                <w:color w:val="385623" w:themeColor="accent6" w:themeShade="80"/>
                <w:sz w:val="18"/>
              </w:rPr>
            </w:pPr>
            <w:r>
              <w:rPr>
                <w:color w:val="385623" w:themeColor="accent6" w:themeShade="80"/>
                <w:sz w:val="18"/>
              </w:rPr>
              <w:t>Η αίτηση για το καθεστώς του εγκεκριμένου παραλήπτη υποβάλλεται στο κράτος μέλος όπου πρόκειται να περατωθούν οι πράξεις μεταφοράς με δελτίο TIR</w:t>
            </w:r>
          </w:p>
        </w:tc>
      </w:tr>
    </w:tbl>
    <w:p w14:paraId="5E11D466" w14:textId="430A0625" w:rsidR="00E61EC1" w:rsidRDefault="00E61EC1" w:rsidP="00E61EC1">
      <w:pPr>
        <w:pStyle w:val="Caption"/>
      </w:pPr>
      <w:bookmarkStart w:id="19" w:name="_Ref470180206"/>
      <w:r>
        <w:t>Πίνακας </w:t>
      </w:r>
      <w:r>
        <w:rPr>
          <w:noProof/>
        </w:rPr>
        <w:fldChar w:fldCharType="begin"/>
      </w:r>
      <w:r>
        <w:rPr>
          <w:noProof/>
        </w:rPr>
        <w:instrText xml:space="preserve"> SEQ Table \* ARABIC </w:instrText>
      </w:r>
      <w:r>
        <w:rPr>
          <w:noProof/>
        </w:rPr>
        <w:fldChar w:fldCharType="separate"/>
      </w:r>
      <w:r>
        <w:rPr>
          <w:noProof/>
        </w:rPr>
        <w:t>17</w:t>
      </w:r>
      <w:r>
        <w:rPr>
          <w:noProof/>
        </w:rPr>
        <w:fldChar w:fldCharType="end"/>
      </w:r>
      <w:bookmarkEnd w:id="19"/>
      <w:r>
        <w:t xml:space="preserve"> Προϋποθέσεις προς επαλήθευση από τις τελωνειακές αρχές - Εγκεκριμένος παραλήπτης για τις μεταφορές με δελτίο TIR</w:t>
      </w:r>
    </w:p>
    <w:p w14:paraId="6D0E40AB"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560A796F"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0FF3D7A4"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18A46BF2" w14:textId="120873DA" w:rsidR="00B50B7C" w:rsidRDefault="00B50B7C" w:rsidP="00BA3F4E">
            <w:pPr>
              <w:keepNext/>
              <w:spacing w:after="0"/>
              <w:jc w:val="center"/>
            </w:pPr>
            <w:r>
              <w:t>ACT</w:t>
            </w:r>
          </w:p>
          <w:p w14:paraId="76CDF3AF"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6AE170B6" wp14:editId="65ADEAB4">
                  <wp:extent cx="180000" cy="180000"/>
                  <wp:effectExtent l="0" t="0" r="0" b="0"/>
                  <wp:docPr id="26" name="Graphic 26"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66566D5E"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3F276B91" w14:textId="77777777" w:rsidR="00E61EC1" w:rsidRPr="0025275D" w:rsidRDefault="00E61EC1" w:rsidP="00D7267E">
            <w:pPr>
              <w:keepNext/>
              <w:spacing w:after="0"/>
              <w:jc w:val="left"/>
              <w:rPr>
                <w:color w:val="002060"/>
                <w:sz w:val="18"/>
              </w:rPr>
            </w:pPr>
            <w:r>
              <w:rPr>
                <w:color w:val="002060"/>
                <w:sz w:val="18"/>
              </w:rPr>
              <w:t>Ο αιτών διαθέτει έγκυρο αριθμό EORI</w:t>
            </w:r>
          </w:p>
        </w:tc>
      </w:tr>
      <w:tr w:rsidR="00E61EC1" w:rsidRPr="0025275D" w14:paraId="73EBC87A" w14:textId="77777777" w:rsidTr="00B44AF6">
        <w:trPr>
          <w:trHeight w:val="454"/>
          <w:jc w:val="center"/>
        </w:trPr>
        <w:tc>
          <w:tcPr>
            <w:tcW w:w="5000" w:type="pct"/>
            <w:gridSpan w:val="2"/>
            <w:vAlign w:val="center"/>
          </w:tcPr>
          <w:p w14:paraId="1CAEAB3B" w14:textId="77777777" w:rsidR="00E61EC1" w:rsidRPr="0025275D" w:rsidRDefault="00E61EC1"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3776EC8D" w14:textId="4E5C3CE8" w:rsidR="00E61EC1" w:rsidRPr="00530E6B" w:rsidRDefault="00E61EC1" w:rsidP="00E61EC1">
      <w:pPr>
        <w:pStyle w:val="Caption"/>
      </w:pPr>
      <w:bookmarkStart w:id="20" w:name="_Ref470180207"/>
      <w:r>
        <w:t>Πίνακας </w:t>
      </w:r>
      <w:r>
        <w:rPr>
          <w:noProof/>
        </w:rPr>
        <w:fldChar w:fldCharType="begin"/>
      </w:r>
      <w:r>
        <w:rPr>
          <w:noProof/>
        </w:rPr>
        <w:instrText xml:space="preserve"> SEQ Table \* ARABIC </w:instrText>
      </w:r>
      <w:r>
        <w:rPr>
          <w:noProof/>
        </w:rPr>
        <w:fldChar w:fldCharType="separate"/>
      </w:r>
      <w:r>
        <w:rPr>
          <w:noProof/>
        </w:rPr>
        <w:t>18</w:t>
      </w:r>
      <w:r>
        <w:rPr>
          <w:noProof/>
        </w:rPr>
        <w:fldChar w:fldCharType="end"/>
      </w:r>
      <w:bookmarkEnd w:id="20"/>
      <w:r>
        <w:t xml:space="preserve"> Προϋποθέσεις που επαληθεύονται από το σύστημα - Εγκεκριμένος παραλήπτης για τις μεταφορές με δελτίο TIR</w:t>
      </w:r>
    </w:p>
    <w:p w14:paraId="7B10111B" w14:textId="4B5F17D9" w:rsidR="009A3AC4" w:rsidRDefault="009A3AC4" w:rsidP="002366C0">
      <w:pPr>
        <w:pStyle w:val="Heading4"/>
      </w:pPr>
      <w:r>
        <w:t>Άδεια για καθεστώς του εγκεκριμένου αποστολέα στο πλαίσιο ενωσιακής διαμετακόμισης</w:t>
      </w:r>
    </w:p>
    <w:p w14:paraId="626629BA" w14:textId="20C1F2BC" w:rsidR="00E61EC1" w:rsidRDefault="00E61EC1" w:rsidP="00E61EC1">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_Ref470180211 \h </w:instrText>
      </w:r>
      <w:r>
        <w:fldChar w:fldCharType="separate"/>
      </w:r>
      <w:r w:rsidR="0007507A">
        <w:t>Πίνακα</w:t>
      </w:r>
      <w:r>
        <w:t xml:space="preserve"> </w:t>
      </w:r>
      <w:r>
        <w:rPr>
          <w:noProof/>
        </w:rPr>
        <w:t>19</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_Ref470180212 \h </w:instrText>
      </w:r>
      <w:r>
        <w:fldChar w:fldCharType="separate"/>
      </w:r>
      <w:r w:rsidR="0007507A">
        <w:t>Πίνακα</w:t>
      </w:r>
      <w:r>
        <w:t xml:space="preserve"> </w:t>
      </w:r>
      <w:r>
        <w:rPr>
          <w:noProof/>
        </w:rPr>
        <w:t>20</w:t>
      </w:r>
      <w:r>
        <w:fldChar w:fldCharType="end"/>
      </w:r>
      <w:r>
        <w:t>.</w:t>
      </w:r>
    </w:p>
    <w:p w14:paraId="045BB5F1" w14:textId="4FCC7ABB" w:rsidR="00E61EC1" w:rsidRDefault="00E61EC1" w:rsidP="00AD5B79">
      <w:pPr>
        <w:pStyle w:val="ListParagraph"/>
        <w:numPr>
          <w:ilvl w:val="0"/>
          <w:numId w:val="8"/>
        </w:numPr>
        <w:ind w:left="568" w:hanging="284"/>
        <w:contextualSpacing w:val="0"/>
      </w:pPr>
      <w:r>
        <w:t>Άδεια για το καθεστώς του εγκεκριμένου αποστολέα στο πλαίσιο ενωσιακής διαμετακόμισης.</w:t>
      </w:r>
    </w:p>
    <w:tbl>
      <w:tblPr>
        <w:tblStyle w:val="GridTable5Dark-Accent61"/>
        <w:tblW w:w="5000" w:type="pct"/>
        <w:tblLook w:val="0420" w:firstRow="1" w:lastRow="0" w:firstColumn="0" w:lastColumn="0" w:noHBand="0" w:noVBand="1"/>
      </w:tblPr>
      <w:tblGrid>
        <w:gridCol w:w="7115"/>
        <w:gridCol w:w="2173"/>
      </w:tblGrid>
      <w:tr w:rsidR="00B50B7C" w14:paraId="4D10F363"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649BF625"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4E3ED9E9" w14:textId="7859EABB" w:rsidR="00B50B7C" w:rsidRDefault="00B50B7C" w:rsidP="00BA3F4E">
            <w:pPr>
              <w:keepNext/>
              <w:spacing w:after="0"/>
              <w:jc w:val="center"/>
            </w:pPr>
            <w:r>
              <w:t>ACR</w:t>
            </w:r>
          </w:p>
          <w:p w14:paraId="5C3A8BC5" w14:textId="77777777" w:rsidR="00B50B7C" w:rsidRDefault="00B50B7C" w:rsidP="00BA3F4E">
            <w:pPr>
              <w:keepNext/>
              <w:spacing w:after="0"/>
              <w:jc w:val="center"/>
            </w:pPr>
            <w:r>
              <w:rPr>
                <w:noProof/>
                <w:lang w:val="en-GB" w:eastAsia="en-GB" w:bidi="ar-SA"/>
              </w:rPr>
              <w:drawing>
                <wp:inline distT="0" distB="0" distL="0" distR="0" wp14:anchorId="1E55E93F" wp14:editId="60E1C5EA">
                  <wp:extent cx="179705" cy="179705"/>
                  <wp:effectExtent l="0" t="0" r="0" b="0"/>
                  <wp:docPr id="12" name="Graphic 1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06C50B4A"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7DEBB53"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E61EC1" w:rsidRPr="0025275D" w14:paraId="797B80FF" w14:textId="77777777" w:rsidTr="00B44AF6">
        <w:trPr>
          <w:trHeight w:val="454"/>
        </w:trPr>
        <w:tc>
          <w:tcPr>
            <w:tcW w:w="5000" w:type="pct"/>
            <w:gridSpan w:val="2"/>
            <w:vAlign w:val="center"/>
          </w:tcPr>
          <w:p w14:paraId="504EC8D5"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B47F52" w:rsidRPr="0025275D" w14:paraId="134AC135"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2CE66CF" w14:textId="04691A03" w:rsidR="00B47F52" w:rsidRPr="0025275D" w:rsidRDefault="00B47F52" w:rsidP="00D7267E">
            <w:pPr>
              <w:keepNext/>
              <w:spacing w:after="0"/>
              <w:jc w:val="left"/>
              <w:rPr>
                <w:color w:val="385623" w:themeColor="accent6" w:themeShade="80"/>
                <w:sz w:val="18"/>
              </w:rPr>
            </w:pPr>
            <w:r>
              <w:rPr>
                <w:color w:val="385623" w:themeColor="accent6" w:themeShade="80"/>
                <w:sz w:val="18"/>
              </w:rPr>
              <w:t>Η αίτηση υποβάλλεται στο κράτος μέλος στο οποίο πρόκειται να ξεκινήσουν οι πράξεις ενωσιακής διαμετακόμισης του αιτούντος</w:t>
            </w:r>
          </w:p>
        </w:tc>
      </w:tr>
      <w:tr w:rsidR="00B47F52" w:rsidRPr="0025275D" w14:paraId="20D589A2" w14:textId="77777777" w:rsidTr="00B44AF6">
        <w:trPr>
          <w:trHeight w:val="454"/>
        </w:trPr>
        <w:tc>
          <w:tcPr>
            <w:tcW w:w="5000" w:type="pct"/>
            <w:gridSpan w:val="2"/>
            <w:vAlign w:val="center"/>
          </w:tcPr>
          <w:p w14:paraId="021CAAEA" w14:textId="5D27F21D" w:rsidR="00B47F52" w:rsidRPr="0025275D" w:rsidRDefault="00B47F52" w:rsidP="00D7267E">
            <w:pPr>
              <w:keepNext/>
              <w:spacing w:after="0"/>
              <w:jc w:val="left"/>
              <w:rPr>
                <w:color w:val="385623" w:themeColor="accent6" w:themeShade="80"/>
                <w:sz w:val="18"/>
              </w:rPr>
            </w:pPr>
            <w:r>
              <w:rPr>
                <w:color w:val="385623" w:themeColor="accent6" w:themeShade="80"/>
                <w:sz w:val="18"/>
              </w:rPr>
              <w:t>Ο αιτών λαμβάνει άδεια για τη χρησιμοποίηση συνολικής εγγύησης ή την απαλλαγή από την υποχρέωση σύστασης εγγύησης</w:t>
            </w:r>
          </w:p>
        </w:tc>
      </w:tr>
    </w:tbl>
    <w:p w14:paraId="1CF2D18F" w14:textId="61432553" w:rsidR="00E61EC1" w:rsidRDefault="00E61EC1" w:rsidP="00E61EC1">
      <w:pPr>
        <w:pStyle w:val="Caption"/>
      </w:pPr>
      <w:bookmarkStart w:id="21" w:name="_Ref470180211"/>
      <w:r>
        <w:t>Πίνακας </w:t>
      </w:r>
      <w:r>
        <w:rPr>
          <w:noProof/>
        </w:rPr>
        <w:fldChar w:fldCharType="begin"/>
      </w:r>
      <w:r>
        <w:rPr>
          <w:noProof/>
        </w:rPr>
        <w:instrText xml:space="preserve"> SEQ Table \* ARABIC </w:instrText>
      </w:r>
      <w:r>
        <w:rPr>
          <w:noProof/>
        </w:rPr>
        <w:fldChar w:fldCharType="separate"/>
      </w:r>
      <w:r>
        <w:rPr>
          <w:noProof/>
        </w:rPr>
        <w:t>19</w:t>
      </w:r>
      <w:r>
        <w:rPr>
          <w:noProof/>
        </w:rPr>
        <w:fldChar w:fldCharType="end"/>
      </w:r>
      <w:bookmarkEnd w:id="21"/>
      <w:r>
        <w:t xml:space="preserve"> Προϋποθέσεις προς επαλήθευση από τις τελωνειακές αρχές – Εγκεκριμένος αποστολέας</w:t>
      </w:r>
    </w:p>
    <w:p w14:paraId="2A5E0A3B"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2A68D93E"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5CA4271C"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207D4A32" w14:textId="7875810E" w:rsidR="00B50B7C" w:rsidRDefault="00B50B7C" w:rsidP="00BA3F4E">
            <w:pPr>
              <w:keepNext/>
              <w:spacing w:after="0"/>
              <w:jc w:val="center"/>
            </w:pPr>
            <w:r>
              <w:t>ACR</w:t>
            </w:r>
          </w:p>
          <w:p w14:paraId="01941EA9"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1362DA92" wp14:editId="5267D71C">
                  <wp:extent cx="180000" cy="180000"/>
                  <wp:effectExtent l="0" t="0" r="0" b="0"/>
                  <wp:docPr id="27" name="Graphic 27"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57DFB3E4"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C6E2072" w14:textId="77777777" w:rsidR="00E61EC1" w:rsidRPr="0025275D" w:rsidRDefault="00E61EC1" w:rsidP="00D7267E">
            <w:pPr>
              <w:keepNext/>
              <w:spacing w:after="0"/>
              <w:jc w:val="left"/>
              <w:rPr>
                <w:color w:val="002060"/>
                <w:sz w:val="18"/>
              </w:rPr>
            </w:pPr>
            <w:r>
              <w:rPr>
                <w:color w:val="002060"/>
                <w:sz w:val="18"/>
              </w:rPr>
              <w:t>Ο αιτών διαθέτει έγκυρο αριθμό EORI</w:t>
            </w:r>
          </w:p>
        </w:tc>
      </w:tr>
      <w:tr w:rsidR="00E61EC1" w:rsidRPr="0025275D" w14:paraId="2C1E4872" w14:textId="77777777" w:rsidTr="00B44AF6">
        <w:trPr>
          <w:trHeight w:val="454"/>
          <w:jc w:val="center"/>
        </w:trPr>
        <w:tc>
          <w:tcPr>
            <w:tcW w:w="5000" w:type="pct"/>
            <w:gridSpan w:val="2"/>
            <w:vAlign w:val="center"/>
          </w:tcPr>
          <w:p w14:paraId="3C05230C" w14:textId="77777777" w:rsidR="00E61EC1" w:rsidRPr="0025275D" w:rsidRDefault="00E61EC1"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20CE0306" w14:textId="6B731B76" w:rsidR="00E61EC1" w:rsidRPr="00530E6B" w:rsidRDefault="00E61EC1" w:rsidP="00E61EC1">
      <w:pPr>
        <w:pStyle w:val="Caption"/>
      </w:pPr>
      <w:bookmarkStart w:id="22" w:name="_Ref470180212"/>
      <w:r>
        <w:t>Πίνακας </w:t>
      </w:r>
      <w:r>
        <w:rPr>
          <w:noProof/>
        </w:rPr>
        <w:fldChar w:fldCharType="begin"/>
      </w:r>
      <w:r>
        <w:rPr>
          <w:noProof/>
        </w:rPr>
        <w:instrText xml:space="preserve"> SEQ Table \* ARABIC </w:instrText>
      </w:r>
      <w:r>
        <w:rPr>
          <w:noProof/>
        </w:rPr>
        <w:fldChar w:fldCharType="separate"/>
      </w:r>
      <w:r>
        <w:rPr>
          <w:noProof/>
        </w:rPr>
        <w:t>20</w:t>
      </w:r>
      <w:r>
        <w:rPr>
          <w:noProof/>
        </w:rPr>
        <w:fldChar w:fldCharType="end"/>
      </w:r>
      <w:bookmarkEnd w:id="22"/>
      <w:r>
        <w:t xml:space="preserve"> Προϋποθέσεις που επαληθεύονται από το σύστημα – Εγκεκριμένος αποστολέας</w:t>
      </w:r>
    </w:p>
    <w:p w14:paraId="326D2947" w14:textId="17417431" w:rsidR="009A3AC4" w:rsidRDefault="009A3AC4" w:rsidP="002366C0">
      <w:pPr>
        <w:pStyle w:val="Heading4"/>
      </w:pPr>
      <w:r>
        <w:t>Άδεια για την ιδιότητα εγκεκριμένου εκδότη</w:t>
      </w:r>
    </w:p>
    <w:p w14:paraId="20277FF8" w14:textId="7FBFA3ED" w:rsidR="00E61EC1" w:rsidRDefault="00E61EC1" w:rsidP="00E61EC1">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_Ref470180216 \h </w:instrText>
      </w:r>
      <w:r>
        <w:fldChar w:fldCharType="separate"/>
      </w:r>
      <w:r w:rsidR="0007507A">
        <w:t>Πίνακα</w:t>
      </w:r>
      <w:r>
        <w:t xml:space="preserve"> </w:t>
      </w:r>
      <w:r>
        <w:rPr>
          <w:noProof/>
        </w:rPr>
        <w:t>21</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_Ref470180217 \h </w:instrText>
      </w:r>
      <w:r>
        <w:fldChar w:fldCharType="separate"/>
      </w:r>
      <w:r w:rsidR="0007507A">
        <w:t>Πίνακα</w:t>
      </w:r>
      <w:r>
        <w:t xml:space="preserve"> </w:t>
      </w:r>
      <w:r>
        <w:rPr>
          <w:noProof/>
        </w:rPr>
        <w:t>22</w:t>
      </w:r>
      <w:r>
        <w:fldChar w:fldCharType="end"/>
      </w:r>
      <w:r>
        <w:t>.</w:t>
      </w:r>
    </w:p>
    <w:p w14:paraId="26650CDC" w14:textId="67A1CEF1" w:rsidR="00E61EC1" w:rsidRDefault="00E61EC1" w:rsidP="00AD5B79">
      <w:pPr>
        <w:pStyle w:val="ListParagraph"/>
        <w:numPr>
          <w:ilvl w:val="0"/>
          <w:numId w:val="8"/>
        </w:numPr>
        <w:ind w:left="568" w:hanging="284"/>
        <w:contextualSpacing w:val="0"/>
      </w:pPr>
      <w:r>
        <w:t>Άδεια για την ιδιότητα εγκεκριμένου εκδότη.</w:t>
      </w:r>
    </w:p>
    <w:tbl>
      <w:tblPr>
        <w:tblStyle w:val="GridTable5Dark-Accent61"/>
        <w:tblW w:w="5000" w:type="pct"/>
        <w:tblLook w:val="0420" w:firstRow="1" w:lastRow="0" w:firstColumn="0" w:lastColumn="0" w:noHBand="0" w:noVBand="1"/>
      </w:tblPr>
      <w:tblGrid>
        <w:gridCol w:w="7115"/>
        <w:gridCol w:w="2173"/>
      </w:tblGrid>
      <w:tr w:rsidR="00B50B7C" w14:paraId="298BD15C"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175D7F4C"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78E937FC" w14:textId="7E0C0D01" w:rsidR="00B50B7C" w:rsidRDefault="00B50B7C" w:rsidP="00BA3F4E">
            <w:pPr>
              <w:keepNext/>
              <w:spacing w:after="0"/>
              <w:jc w:val="center"/>
            </w:pPr>
            <w:r>
              <w:t>ACP</w:t>
            </w:r>
          </w:p>
          <w:p w14:paraId="2615B349" w14:textId="77777777" w:rsidR="00B50B7C" w:rsidRDefault="00B50B7C" w:rsidP="00BA3F4E">
            <w:pPr>
              <w:keepNext/>
              <w:spacing w:after="0"/>
              <w:jc w:val="center"/>
            </w:pPr>
            <w:r>
              <w:rPr>
                <w:noProof/>
                <w:lang w:val="en-GB" w:eastAsia="en-GB" w:bidi="ar-SA"/>
              </w:rPr>
              <w:drawing>
                <wp:inline distT="0" distB="0" distL="0" distR="0" wp14:anchorId="73EB8817" wp14:editId="2DD0DA1C">
                  <wp:extent cx="179705" cy="179705"/>
                  <wp:effectExtent l="0" t="0" r="0" b="0"/>
                  <wp:docPr id="13" name="Graphic 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664E7C68"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BD1AFB4"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E61EC1" w:rsidRPr="0025275D" w14:paraId="794EAFB4" w14:textId="77777777" w:rsidTr="00B44AF6">
        <w:trPr>
          <w:trHeight w:val="454"/>
        </w:trPr>
        <w:tc>
          <w:tcPr>
            <w:tcW w:w="5000" w:type="pct"/>
            <w:gridSpan w:val="2"/>
            <w:vAlign w:val="center"/>
          </w:tcPr>
          <w:p w14:paraId="6C0790E6"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E61EC1" w:rsidRPr="0025275D" w14:paraId="4BA2971B"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5AB778D0"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E61EC1" w:rsidRPr="0025275D" w14:paraId="0A756EEF" w14:textId="77777777" w:rsidTr="00B44AF6">
        <w:trPr>
          <w:trHeight w:val="454"/>
        </w:trPr>
        <w:tc>
          <w:tcPr>
            <w:tcW w:w="5000" w:type="pct"/>
            <w:gridSpan w:val="2"/>
            <w:vAlign w:val="center"/>
          </w:tcPr>
          <w:p w14:paraId="378BD4F4"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562D7594" w14:textId="40B6D2B4" w:rsidR="00E61EC1" w:rsidRDefault="00E61EC1" w:rsidP="00E61EC1">
      <w:pPr>
        <w:pStyle w:val="Caption"/>
      </w:pPr>
      <w:bookmarkStart w:id="23" w:name="_Ref470180216"/>
      <w:r>
        <w:t>Πίνακας </w:t>
      </w:r>
      <w:r>
        <w:rPr>
          <w:noProof/>
        </w:rPr>
        <w:fldChar w:fldCharType="begin"/>
      </w:r>
      <w:r>
        <w:rPr>
          <w:noProof/>
        </w:rPr>
        <w:instrText xml:space="preserve"> SEQ Table \* ARABIC </w:instrText>
      </w:r>
      <w:r>
        <w:rPr>
          <w:noProof/>
        </w:rPr>
        <w:fldChar w:fldCharType="separate"/>
      </w:r>
      <w:r>
        <w:rPr>
          <w:noProof/>
        </w:rPr>
        <w:t>21</w:t>
      </w:r>
      <w:r>
        <w:rPr>
          <w:noProof/>
        </w:rPr>
        <w:fldChar w:fldCharType="end"/>
      </w:r>
      <w:bookmarkEnd w:id="23"/>
      <w:r>
        <w:t xml:space="preserve"> Προϋποθέσεις προς επαλήθευση από τις τελωνειακές αρχές - Εγκεκριμένος εκδότης</w:t>
      </w:r>
    </w:p>
    <w:p w14:paraId="290495CB"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6E9A5E73"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31778172"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50ADC715" w14:textId="6D9891D6" w:rsidR="00B50B7C" w:rsidRDefault="00B50B7C" w:rsidP="00BA3F4E">
            <w:pPr>
              <w:keepNext/>
              <w:spacing w:after="0"/>
              <w:jc w:val="center"/>
            </w:pPr>
            <w:r>
              <w:t>ACP</w:t>
            </w:r>
          </w:p>
          <w:p w14:paraId="35BB5436"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332662E1" wp14:editId="62AC2A60">
                  <wp:extent cx="180000" cy="180000"/>
                  <wp:effectExtent l="0" t="0" r="0" b="0"/>
                  <wp:docPr id="28" name="Graphic 28"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6772432F"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4E352250" w14:textId="77777777" w:rsidR="00E61EC1" w:rsidRPr="0025275D" w:rsidRDefault="00E61EC1" w:rsidP="00D7267E">
            <w:pPr>
              <w:keepNext/>
              <w:spacing w:after="0"/>
              <w:jc w:val="left"/>
              <w:rPr>
                <w:color w:val="002060"/>
                <w:sz w:val="18"/>
              </w:rPr>
            </w:pPr>
            <w:r>
              <w:rPr>
                <w:color w:val="002060"/>
                <w:sz w:val="18"/>
              </w:rPr>
              <w:t>Ο αιτών διαθέτει έγκυρο αριθμό EORI</w:t>
            </w:r>
          </w:p>
        </w:tc>
      </w:tr>
      <w:tr w:rsidR="00E61EC1" w:rsidRPr="0025275D" w14:paraId="770D6A90" w14:textId="77777777" w:rsidTr="00B44AF6">
        <w:trPr>
          <w:trHeight w:val="454"/>
          <w:jc w:val="center"/>
        </w:trPr>
        <w:tc>
          <w:tcPr>
            <w:tcW w:w="5000" w:type="pct"/>
            <w:gridSpan w:val="2"/>
            <w:vAlign w:val="center"/>
          </w:tcPr>
          <w:p w14:paraId="25884009" w14:textId="77777777" w:rsidR="00E61EC1" w:rsidRPr="0025275D" w:rsidRDefault="00E61EC1"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58BE1996" w14:textId="7760BA38" w:rsidR="00E61EC1" w:rsidRPr="00530E6B" w:rsidRDefault="00E61EC1" w:rsidP="00E61EC1">
      <w:pPr>
        <w:pStyle w:val="Caption"/>
      </w:pPr>
      <w:bookmarkStart w:id="24" w:name="_Ref470180217"/>
      <w:r>
        <w:t>Πίνακας </w:t>
      </w:r>
      <w:r>
        <w:rPr>
          <w:noProof/>
        </w:rPr>
        <w:fldChar w:fldCharType="begin"/>
      </w:r>
      <w:r>
        <w:rPr>
          <w:noProof/>
        </w:rPr>
        <w:instrText xml:space="preserve"> SEQ Table \* ARABIC </w:instrText>
      </w:r>
      <w:r>
        <w:rPr>
          <w:noProof/>
        </w:rPr>
        <w:fldChar w:fldCharType="separate"/>
      </w:r>
      <w:r>
        <w:rPr>
          <w:noProof/>
        </w:rPr>
        <w:t>22</w:t>
      </w:r>
      <w:r>
        <w:rPr>
          <w:noProof/>
        </w:rPr>
        <w:fldChar w:fldCharType="end"/>
      </w:r>
      <w:bookmarkEnd w:id="24"/>
      <w:r>
        <w:t xml:space="preserve"> Προϋποθέσεις που επαληθεύονται από το σύστημα - Εγκεκριμένος εκδότης</w:t>
      </w:r>
    </w:p>
    <w:p w14:paraId="20D554FF" w14:textId="4DDE324E" w:rsidR="009A3AC4" w:rsidRDefault="009A3AC4" w:rsidP="002366C0">
      <w:pPr>
        <w:pStyle w:val="Heading4"/>
      </w:pPr>
      <w:r>
        <w:t>Άδεια για χρήση ειδικών τελωνειακών σφραγίδων</w:t>
      </w:r>
    </w:p>
    <w:p w14:paraId="38DEE31C" w14:textId="09C3BB25" w:rsidR="00E61EC1" w:rsidRDefault="00E61EC1" w:rsidP="00E61EC1">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_Ref470180222 \h </w:instrText>
      </w:r>
      <w:r>
        <w:fldChar w:fldCharType="separate"/>
      </w:r>
      <w:r w:rsidR="0007507A">
        <w:t>Πίνακα</w:t>
      </w:r>
      <w:r>
        <w:t xml:space="preserve"> </w:t>
      </w:r>
      <w:r>
        <w:rPr>
          <w:noProof/>
        </w:rPr>
        <w:t>23</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_Ref470180223 \h </w:instrText>
      </w:r>
      <w:r>
        <w:fldChar w:fldCharType="separate"/>
      </w:r>
      <w:r w:rsidR="0007507A">
        <w:t>Πίνακα</w:t>
      </w:r>
      <w:r>
        <w:t xml:space="preserve"> </w:t>
      </w:r>
      <w:r>
        <w:rPr>
          <w:noProof/>
        </w:rPr>
        <w:t>24</w:t>
      </w:r>
      <w:r>
        <w:fldChar w:fldCharType="end"/>
      </w:r>
      <w:r>
        <w:t>.</w:t>
      </w:r>
    </w:p>
    <w:p w14:paraId="59BB8B54" w14:textId="5D617397" w:rsidR="00E61EC1" w:rsidRDefault="00E61EC1" w:rsidP="00AD5B79">
      <w:pPr>
        <w:pStyle w:val="ListParagraph"/>
        <w:numPr>
          <w:ilvl w:val="0"/>
          <w:numId w:val="8"/>
        </w:numPr>
        <w:ind w:left="568" w:hanging="284"/>
        <w:contextualSpacing w:val="0"/>
      </w:pPr>
      <w:r>
        <w:t>Άδεια για χρήση ειδικών τελωνειακών σφραγίδων.</w:t>
      </w:r>
    </w:p>
    <w:tbl>
      <w:tblPr>
        <w:tblStyle w:val="GridTable5Dark-Accent61"/>
        <w:tblW w:w="5000" w:type="pct"/>
        <w:tblLook w:val="0420" w:firstRow="1" w:lastRow="0" w:firstColumn="0" w:lastColumn="0" w:noHBand="0" w:noVBand="1"/>
      </w:tblPr>
      <w:tblGrid>
        <w:gridCol w:w="7115"/>
        <w:gridCol w:w="2173"/>
      </w:tblGrid>
      <w:tr w:rsidR="00B50B7C" w14:paraId="33AE0F38"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2C9FFCB9"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10AEFF94" w14:textId="5096D790" w:rsidR="00B50B7C" w:rsidRDefault="00B50B7C" w:rsidP="00BA3F4E">
            <w:pPr>
              <w:keepNext/>
              <w:spacing w:after="0"/>
              <w:jc w:val="center"/>
            </w:pPr>
            <w:r>
              <w:t>SSE</w:t>
            </w:r>
          </w:p>
          <w:p w14:paraId="248F975A" w14:textId="77777777" w:rsidR="00B50B7C" w:rsidRDefault="00B50B7C" w:rsidP="00BA3F4E">
            <w:pPr>
              <w:keepNext/>
              <w:spacing w:after="0"/>
              <w:jc w:val="center"/>
            </w:pPr>
            <w:r>
              <w:rPr>
                <w:noProof/>
                <w:lang w:val="en-GB" w:eastAsia="en-GB" w:bidi="ar-SA"/>
              </w:rPr>
              <w:drawing>
                <wp:inline distT="0" distB="0" distL="0" distR="0" wp14:anchorId="378AA1AC" wp14:editId="5C692484">
                  <wp:extent cx="179705" cy="179705"/>
                  <wp:effectExtent l="0" t="0" r="0" b="0"/>
                  <wp:docPr id="14" name="Graphic 1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5DBDDB1B"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22C0E92B"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E61EC1" w:rsidRPr="0025275D" w14:paraId="1C2394B0" w14:textId="77777777" w:rsidTr="00B44AF6">
        <w:trPr>
          <w:trHeight w:val="454"/>
        </w:trPr>
        <w:tc>
          <w:tcPr>
            <w:tcW w:w="5000" w:type="pct"/>
            <w:gridSpan w:val="2"/>
            <w:vAlign w:val="center"/>
          </w:tcPr>
          <w:p w14:paraId="578B7565"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E61EC1" w:rsidRPr="0025275D" w14:paraId="0CD554E0"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C0BD41E"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E61EC1" w:rsidRPr="0025275D" w14:paraId="15F377C0" w14:textId="77777777" w:rsidTr="00B44AF6">
        <w:trPr>
          <w:trHeight w:val="454"/>
        </w:trPr>
        <w:tc>
          <w:tcPr>
            <w:tcW w:w="5000" w:type="pct"/>
            <w:gridSpan w:val="2"/>
            <w:vAlign w:val="center"/>
          </w:tcPr>
          <w:p w14:paraId="6F25BDE9"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3845CE00" w14:textId="3856E625" w:rsidR="00E61EC1" w:rsidRDefault="00E61EC1" w:rsidP="00E61EC1">
      <w:pPr>
        <w:pStyle w:val="Caption"/>
      </w:pPr>
      <w:bookmarkStart w:id="25" w:name="_Ref470180222"/>
      <w:r>
        <w:t>Πίνακας </w:t>
      </w:r>
      <w:r>
        <w:rPr>
          <w:noProof/>
        </w:rPr>
        <w:fldChar w:fldCharType="begin"/>
      </w:r>
      <w:r>
        <w:rPr>
          <w:noProof/>
        </w:rPr>
        <w:instrText xml:space="preserve"> SEQ Table \* ARABIC </w:instrText>
      </w:r>
      <w:r>
        <w:rPr>
          <w:noProof/>
        </w:rPr>
        <w:fldChar w:fldCharType="separate"/>
      </w:r>
      <w:r>
        <w:rPr>
          <w:noProof/>
        </w:rPr>
        <w:t>23</w:t>
      </w:r>
      <w:r>
        <w:rPr>
          <w:noProof/>
        </w:rPr>
        <w:fldChar w:fldCharType="end"/>
      </w:r>
      <w:bookmarkEnd w:id="25"/>
      <w:r>
        <w:t xml:space="preserve"> Προϋποθέσεις προς επαλήθευση από τις τελωνειακές αρχές - Ειδικές σφραγίδες</w:t>
      </w:r>
    </w:p>
    <w:p w14:paraId="68FCBA40"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2D62DB41"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251D5436"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71345DDA" w14:textId="4104FE5C" w:rsidR="00B50B7C" w:rsidRDefault="00B50B7C" w:rsidP="00BA3F4E">
            <w:pPr>
              <w:keepNext/>
              <w:spacing w:after="0"/>
              <w:jc w:val="center"/>
            </w:pPr>
            <w:r>
              <w:t>SSE</w:t>
            </w:r>
          </w:p>
          <w:p w14:paraId="010163EB"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44821EE3" wp14:editId="4EE7BA60">
                  <wp:extent cx="180000" cy="180000"/>
                  <wp:effectExtent l="0" t="0" r="0" b="0"/>
                  <wp:docPr id="29" name="Graphic 29"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29144E84"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19212EFD" w14:textId="77777777" w:rsidR="00E61EC1" w:rsidRPr="0025275D" w:rsidRDefault="00E61EC1" w:rsidP="00D7267E">
            <w:pPr>
              <w:keepNext/>
              <w:spacing w:after="0"/>
              <w:jc w:val="left"/>
              <w:rPr>
                <w:color w:val="002060"/>
                <w:sz w:val="18"/>
              </w:rPr>
            </w:pPr>
            <w:r>
              <w:rPr>
                <w:color w:val="002060"/>
                <w:sz w:val="18"/>
              </w:rPr>
              <w:t>Ο αιτών διαθέτει έγκυρο αριθμό EORI</w:t>
            </w:r>
          </w:p>
        </w:tc>
      </w:tr>
      <w:tr w:rsidR="00E61EC1" w:rsidRPr="0025275D" w14:paraId="3E5639B6" w14:textId="77777777" w:rsidTr="00B44AF6">
        <w:trPr>
          <w:trHeight w:val="454"/>
          <w:jc w:val="center"/>
        </w:trPr>
        <w:tc>
          <w:tcPr>
            <w:tcW w:w="5000" w:type="pct"/>
            <w:gridSpan w:val="2"/>
            <w:vAlign w:val="center"/>
          </w:tcPr>
          <w:p w14:paraId="0B14F70C" w14:textId="77777777" w:rsidR="00E61EC1" w:rsidRPr="0025275D" w:rsidRDefault="00E61EC1"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0CF0D75B" w14:textId="0DB87D10" w:rsidR="00E61EC1" w:rsidRPr="00530E6B" w:rsidRDefault="00E61EC1" w:rsidP="00E61EC1">
      <w:pPr>
        <w:pStyle w:val="Caption"/>
      </w:pPr>
      <w:bookmarkStart w:id="26" w:name="_Ref470180223"/>
      <w:r>
        <w:t>Πίνακας </w:t>
      </w:r>
      <w:r>
        <w:rPr>
          <w:noProof/>
        </w:rPr>
        <w:fldChar w:fldCharType="begin"/>
      </w:r>
      <w:r>
        <w:rPr>
          <w:noProof/>
        </w:rPr>
        <w:instrText xml:space="preserve"> SEQ Table \* ARABIC </w:instrText>
      </w:r>
      <w:r>
        <w:rPr>
          <w:noProof/>
        </w:rPr>
        <w:fldChar w:fldCharType="separate"/>
      </w:r>
      <w:r>
        <w:rPr>
          <w:noProof/>
        </w:rPr>
        <w:t>24</w:t>
      </w:r>
      <w:r>
        <w:rPr>
          <w:noProof/>
        </w:rPr>
        <w:fldChar w:fldCharType="end"/>
      </w:r>
      <w:bookmarkEnd w:id="26"/>
      <w:r>
        <w:t xml:space="preserve"> Προϋποθέσεις που επαληθεύονται από το σύστημα - Ειδικές σφραγίδες</w:t>
      </w:r>
    </w:p>
    <w:p w14:paraId="332A8A10" w14:textId="5391F41C" w:rsidR="009A3AC4" w:rsidRDefault="009A3AC4" w:rsidP="002366C0">
      <w:pPr>
        <w:pStyle w:val="Heading4"/>
      </w:pPr>
      <w:r>
        <w:t>Άδεια για χρήση διασάφησης διαμετακόμισης με μειωμένο σύνολο δεδομένων</w:t>
      </w:r>
    </w:p>
    <w:p w14:paraId="56F17327" w14:textId="562B8FFF" w:rsidR="00E61EC1" w:rsidRDefault="00E61EC1" w:rsidP="00E61EC1">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_Ref470180229 \h </w:instrText>
      </w:r>
      <w:r>
        <w:fldChar w:fldCharType="separate"/>
      </w:r>
      <w:r w:rsidR="0007507A">
        <w:t>Πίνακα</w:t>
      </w:r>
      <w:r>
        <w:t xml:space="preserve"> </w:t>
      </w:r>
      <w:r>
        <w:rPr>
          <w:noProof/>
        </w:rPr>
        <w:t>25</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_Ref470180230 \h </w:instrText>
      </w:r>
      <w:r>
        <w:fldChar w:fldCharType="separate"/>
      </w:r>
      <w:r w:rsidR="0007507A">
        <w:t>Πίνακα</w:t>
      </w:r>
      <w:r>
        <w:t xml:space="preserve"> </w:t>
      </w:r>
      <w:r>
        <w:rPr>
          <w:noProof/>
        </w:rPr>
        <w:t>26</w:t>
      </w:r>
      <w:r>
        <w:fldChar w:fldCharType="end"/>
      </w:r>
      <w:r>
        <w:t>.</w:t>
      </w:r>
    </w:p>
    <w:p w14:paraId="07DB824D" w14:textId="3428A149" w:rsidR="00E61EC1" w:rsidRDefault="00E61EC1" w:rsidP="00AD5B79">
      <w:pPr>
        <w:pStyle w:val="ListParagraph"/>
        <w:numPr>
          <w:ilvl w:val="0"/>
          <w:numId w:val="8"/>
        </w:numPr>
        <w:ind w:left="568" w:hanging="284"/>
        <w:contextualSpacing w:val="0"/>
      </w:pPr>
      <w:r>
        <w:t>Άδεια για χρήση διασάφησης διαμετακόμισης με μειωμένο σύνολο δεδομένων.</w:t>
      </w:r>
    </w:p>
    <w:tbl>
      <w:tblPr>
        <w:tblStyle w:val="GridTable5Dark-Accent61"/>
        <w:tblW w:w="5000" w:type="pct"/>
        <w:tblLook w:val="0420" w:firstRow="1" w:lastRow="0" w:firstColumn="0" w:lastColumn="0" w:noHBand="0" w:noVBand="1"/>
      </w:tblPr>
      <w:tblGrid>
        <w:gridCol w:w="7115"/>
        <w:gridCol w:w="2173"/>
      </w:tblGrid>
      <w:tr w:rsidR="00B50B7C" w14:paraId="420000C6"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5BA50852"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653D16F1" w14:textId="10F75330" w:rsidR="00B50B7C" w:rsidRDefault="00B50B7C" w:rsidP="00BA3F4E">
            <w:pPr>
              <w:keepNext/>
              <w:spacing w:after="0"/>
              <w:jc w:val="center"/>
            </w:pPr>
            <w:r>
              <w:t>TRD</w:t>
            </w:r>
          </w:p>
          <w:p w14:paraId="73A5FDA1" w14:textId="77777777" w:rsidR="00B50B7C" w:rsidRDefault="00B50B7C" w:rsidP="00BA3F4E">
            <w:pPr>
              <w:keepNext/>
              <w:spacing w:after="0"/>
              <w:jc w:val="center"/>
            </w:pPr>
            <w:r>
              <w:rPr>
                <w:noProof/>
                <w:lang w:val="en-GB" w:eastAsia="en-GB" w:bidi="ar-SA"/>
              </w:rPr>
              <w:drawing>
                <wp:inline distT="0" distB="0" distL="0" distR="0" wp14:anchorId="152A8C5E" wp14:editId="1C579CDC">
                  <wp:extent cx="179705" cy="179705"/>
                  <wp:effectExtent l="0" t="0" r="0" b="0"/>
                  <wp:docPr id="15" name="Graphic 1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5F5A3916"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19D01C8"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E61EC1" w:rsidRPr="0025275D" w14:paraId="56AA8C98" w14:textId="77777777" w:rsidTr="00B44AF6">
        <w:trPr>
          <w:trHeight w:val="454"/>
        </w:trPr>
        <w:tc>
          <w:tcPr>
            <w:tcW w:w="5000" w:type="pct"/>
            <w:gridSpan w:val="2"/>
            <w:vAlign w:val="center"/>
          </w:tcPr>
          <w:p w14:paraId="234CDC42"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E61EC1" w:rsidRPr="0025275D" w14:paraId="29DCDD9D"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7E07B08"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E61EC1" w:rsidRPr="0025275D" w14:paraId="2D93EF6B" w14:textId="77777777" w:rsidTr="00B44AF6">
        <w:trPr>
          <w:trHeight w:val="454"/>
        </w:trPr>
        <w:tc>
          <w:tcPr>
            <w:tcW w:w="5000" w:type="pct"/>
            <w:gridSpan w:val="2"/>
            <w:vAlign w:val="center"/>
          </w:tcPr>
          <w:p w14:paraId="192EA59B"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1F54B9FC" w14:textId="5CAE57BE" w:rsidR="00E61EC1" w:rsidRDefault="00E61EC1" w:rsidP="00E61EC1">
      <w:pPr>
        <w:pStyle w:val="Caption"/>
      </w:pPr>
      <w:bookmarkStart w:id="27" w:name="_Ref470180229"/>
      <w:r>
        <w:t>Πίνακας </w:t>
      </w:r>
      <w:r>
        <w:rPr>
          <w:noProof/>
        </w:rPr>
        <w:fldChar w:fldCharType="begin"/>
      </w:r>
      <w:r>
        <w:rPr>
          <w:noProof/>
        </w:rPr>
        <w:instrText xml:space="preserve"> SEQ Table \* ARABIC </w:instrText>
      </w:r>
      <w:r>
        <w:rPr>
          <w:noProof/>
        </w:rPr>
        <w:fldChar w:fldCharType="separate"/>
      </w:r>
      <w:r>
        <w:rPr>
          <w:noProof/>
        </w:rPr>
        <w:t>25</w:t>
      </w:r>
      <w:r>
        <w:rPr>
          <w:noProof/>
        </w:rPr>
        <w:fldChar w:fldCharType="end"/>
      </w:r>
      <w:bookmarkEnd w:id="27"/>
      <w:r>
        <w:t xml:space="preserve"> Προϋποθέσεις προς επαλήθευση από τις τελωνειακές αρχές - Μειωμένη διασάφηση διαμετακόμισης</w:t>
      </w:r>
    </w:p>
    <w:p w14:paraId="106FB16C"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70A1BC58"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7C13E48A"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22337B85" w14:textId="28ED1289" w:rsidR="00B50B7C" w:rsidRDefault="00B50B7C" w:rsidP="00BA3F4E">
            <w:pPr>
              <w:keepNext/>
              <w:spacing w:after="0"/>
              <w:jc w:val="center"/>
            </w:pPr>
            <w:r>
              <w:t>TRD</w:t>
            </w:r>
          </w:p>
          <w:p w14:paraId="2C165AAF"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07C374D5" wp14:editId="7065C267">
                  <wp:extent cx="180000" cy="180000"/>
                  <wp:effectExtent l="0" t="0" r="0" b="0"/>
                  <wp:docPr id="30" name="Graphic 3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6AB2BC29"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6528D651" w14:textId="77777777" w:rsidR="00E61EC1" w:rsidRPr="0025275D" w:rsidRDefault="00E61EC1" w:rsidP="00D7267E">
            <w:pPr>
              <w:keepNext/>
              <w:spacing w:after="0"/>
              <w:jc w:val="left"/>
              <w:rPr>
                <w:color w:val="002060"/>
                <w:sz w:val="18"/>
              </w:rPr>
            </w:pPr>
            <w:r>
              <w:rPr>
                <w:color w:val="002060"/>
                <w:sz w:val="18"/>
              </w:rPr>
              <w:t>Ο αιτών διαθέτει έγκυρο αριθμό EORI</w:t>
            </w:r>
          </w:p>
        </w:tc>
      </w:tr>
      <w:tr w:rsidR="00E61EC1" w:rsidRPr="0025275D" w14:paraId="4773BFF4" w14:textId="77777777" w:rsidTr="00B44AF6">
        <w:trPr>
          <w:trHeight w:val="454"/>
          <w:jc w:val="center"/>
        </w:trPr>
        <w:tc>
          <w:tcPr>
            <w:tcW w:w="5000" w:type="pct"/>
            <w:gridSpan w:val="2"/>
            <w:vAlign w:val="center"/>
          </w:tcPr>
          <w:p w14:paraId="65E96FD2" w14:textId="77777777" w:rsidR="00E61EC1" w:rsidRPr="0025275D" w:rsidRDefault="00E61EC1"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3E97C65D" w14:textId="59BB7B70" w:rsidR="00E61EC1" w:rsidRPr="00530E6B" w:rsidRDefault="00E61EC1" w:rsidP="00E61EC1">
      <w:pPr>
        <w:pStyle w:val="Caption"/>
      </w:pPr>
      <w:bookmarkStart w:id="28" w:name="_Ref470180230"/>
      <w:r>
        <w:t>Πίνακας </w:t>
      </w:r>
      <w:r>
        <w:rPr>
          <w:noProof/>
        </w:rPr>
        <w:fldChar w:fldCharType="begin"/>
      </w:r>
      <w:r>
        <w:rPr>
          <w:noProof/>
        </w:rPr>
        <w:instrText xml:space="preserve"> SEQ Table \* ARABIC </w:instrText>
      </w:r>
      <w:r>
        <w:rPr>
          <w:noProof/>
        </w:rPr>
        <w:fldChar w:fldCharType="separate"/>
      </w:r>
      <w:r>
        <w:rPr>
          <w:noProof/>
        </w:rPr>
        <w:t>26</w:t>
      </w:r>
      <w:r>
        <w:rPr>
          <w:noProof/>
        </w:rPr>
        <w:fldChar w:fldCharType="end"/>
      </w:r>
      <w:bookmarkEnd w:id="28"/>
      <w:r>
        <w:t xml:space="preserve"> Προϋποθέσεις που επαληθεύονται από το σύστημα - Μειωμένη διασάφηση διαμετακόμισης</w:t>
      </w:r>
    </w:p>
    <w:p w14:paraId="01FF4FF9" w14:textId="087D7385" w:rsidR="009A3AC4" w:rsidRDefault="009A3AC4" w:rsidP="002366C0">
      <w:pPr>
        <w:pStyle w:val="Heading4"/>
      </w:pPr>
      <w:r>
        <w:t>Άδεια για χρήση ηλεκτρονικού εγγράφου μεταφοράς ως τελωνειακής διασάφησης</w:t>
      </w:r>
    </w:p>
    <w:p w14:paraId="48D0D516" w14:textId="43DD2C00" w:rsidR="00E61EC1" w:rsidRDefault="00E61EC1" w:rsidP="00E61EC1">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_Ref470180235 \h </w:instrText>
      </w:r>
      <w:r>
        <w:fldChar w:fldCharType="separate"/>
      </w:r>
      <w:r w:rsidR="0007507A">
        <w:t>Πίνακα</w:t>
      </w:r>
      <w:r>
        <w:t xml:space="preserve"> </w:t>
      </w:r>
      <w:r>
        <w:rPr>
          <w:noProof/>
        </w:rPr>
        <w:t>27</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_Ref470180236 \h </w:instrText>
      </w:r>
      <w:r>
        <w:fldChar w:fldCharType="separate"/>
      </w:r>
      <w:r w:rsidR="0007507A">
        <w:t>Πίνακα</w:t>
      </w:r>
      <w:r>
        <w:t xml:space="preserve"> </w:t>
      </w:r>
      <w:r>
        <w:rPr>
          <w:noProof/>
        </w:rPr>
        <w:t>28</w:t>
      </w:r>
      <w:r>
        <w:fldChar w:fldCharType="end"/>
      </w:r>
      <w:r>
        <w:t>.</w:t>
      </w:r>
    </w:p>
    <w:p w14:paraId="0E8B967F" w14:textId="6CBAA846" w:rsidR="00E61EC1" w:rsidRDefault="00E61EC1" w:rsidP="00AD5B79">
      <w:pPr>
        <w:pStyle w:val="ListParagraph"/>
        <w:numPr>
          <w:ilvl w:val="0"/>
          <w:numId w:val="8"/>
        </w:numPr>
        <w:ind w:left="568" w:hanging="284"/>
        <w:contextualSpacing w:val="0"/>
      </w:pPr>
      <w:r>
        <w:t>Άδεια για χρήση ηλεκτρονικού εγγράφου μεταφοράς ως τελωνειακής διασάφησης.</w:t>
      </w:r>
    </w:p>
    <w:tbl>
      <w:tblPr>
        <w:tblStyle w:val="GridTable5Dark-Accent61"/>
        <w:tblW w:w="5000" w:type="pct"/>
        <w:tblLook w:val="0420" w:firstRow="1" w:lastRow="0" w:firstColumn="0" w:lastColumn="0" w:noHBand="0" w:noVBand="1"/>
      </w:tblPr>
      <w:tblGrid>
        <w:gridCol w:w="7115"/>
        <w:gridCol w:w="2173"/>
      </w:tblGrid>
      <w:tr w:rsidR="00B50B7C" w14:paraId="17FDB973"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64C4222D"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536004C5" w14:textId="2564A85C" w:rsidR="00B50B7C" w:rsidRDefault="00B50B7C" w:rsidP="00BA3F4E">
            <w:pPr>
              <w:keepNext/>
              <w:spacing w:after="0"/>
              <w:jc w:val="center"/>
            </w:pPr>
            <w:r>
              <w:t>ETD</w:t>
            </w:r>
          </w:p>
          <w:p w14:paraId="25A3CD0A" w14:textId="77777777" w:rsidR="00B50B7C" w:rsidRDefault="00B50B7C" w:rsidP="00BA3F4E">
            <w:pPr>
              <w:keepNext/>
              <w:spacing w:after="0"/>
              <w:jc w:val="center"/>
            </w:pPr>
            <w:r>
              <w:rPr>
                <w:noProof/>
                <w:lang w:val="en-GB" w:eastAsia="en-GB" w:bidi="ar-SA"/>
              </w:rPr>
              <w:drawing>
                <wp:inline distT="0" distB="0" distL="0" distR="0" wp14:anchorId="7BC028D2" wp14:editId="15EAFB66">
                  <wp:extent cx="179705" cy="179705"/>
                  <wp:effectExtent l="0" t="0" r="0" b="0"/>
                  <wp:docPr id="16" name="Graphic 1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E61EC1" w:rsidRPr="0025275D" w14:paraId="49ECE9B6"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F19C023"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E61EC1" w:rsidRPr="0025275D" w14:paraId="399A2354" w14:textId="77777777" w:rsidTr="00B44AF6">
        <w:trPr>
          <w:trHeight w:val="454"/>
        </w:trPr>
        <w:tc>
          <w:tcPr>
            <w:tcW w:w="5000" w:type="pct"/>
            <w:gridSpan w:val="2"/>
            <w:vAlign w:val="center"/>
          </w:tcPr>
          <w:p w14:paraId="20CED3A5"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E61EC1" w:rsidRPr="0025275D" w14:paraId="5C72E420" w14:textId="77777777" w:rsidTr="00B44A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94A24CE"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E61EC1" w:rsidRPr="0025275D" w14:paraId="173D717C" w14:textId="77777777" w:rsidTr="00B44AF6">
        <w:trPr>
          <w:trHeight w:val="454"/>
        </w:trPr>
        <w:tc>
          <w:tcPr>
            <w:tcW w:w="5000" w:type="pct"/>
            <w:gridSpan w:val="2"/>
            <w:vAlign w:val="center"/>
          </w:tcPr>
          <w:p w14:paraId="3EA6920A" w14:textId="77777777" w:rsidR="00E61EC1" w:rsidRPr="0025275D" w:rsidRDefault="00E61EC1"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2B377272" w14:textId="2848384A" w:rsidR="00E61EC1" w:rsidRDefault="00E61EC1" w:rsidP="00E61EC1">
      <w:pPr>
        <w:pStyle w:val="Caption"/>
      </w:pPr>
      <w:bookmarkStart w:id="29" w:name="_Ref470180235"/>
      <w:r>
        <w:t>Πίνακας </w:t>
      </w:r>
      <w:r>
        <w:rPr>
          <w:noProof/>
        </w:rPr>
        <w:fldChar w:fldCharType="begin"/>
      </w:r>
      <w:r>
        <w:rPr>
          <w:noProof/>
        </w:rPr>
        <w:instrText xml:space="preserve"> SEQ Table \* ARABIC </w:instrText>
      </w:r>
      <w:r>
        <w:rPr>
          <w:noProof/>
        </w:rPr>
        <w:fldChar w:fldCharType="separate"/>
      </w:r>
      <w:r>
        <w:rPr>
          <w:noProof/>
        </w:rPr>
        <w:t>27</w:t>
      </w:r>
      <w:r>
        <w:rPr>
          <w:noProof/>
        </w:rPr>
        <w:fldChar w:fldCharType="end"/>
      </w:r>
      <w:bookmarkEnd w:id="29"/>
      <w:r>
        <w:t xml:space="preserve"> Προϋποθέσεις προς επαλήθευση από τις τελωνειακές αρχές - Ηλεκτρονικό έγγραφο μεταφοράς</w:t>
      </w:r>
    </w:p>
    <w:p w14:paraId="092E556F" w14:textId="77777777" w:rsidR="00E61EC1" w:rsidRPr="006531B1" w:rsidRDefault="00E61EC1" w:rsidP="00E61EC1"/>
    <w:tbl>
      <w:tblPr>
        <w:tblStyle w:val="GridTable5Dark-Accent51"/>
        <w:tblW w:w="5000" w:type="pct"/>
        <w:jc w:val="center"/>
        <w:tblLook w:val="0420" w:firstRow="1" w:lastRow="0" w:firstColumn="0" w:lastColumn="0" w:noHBand="0" w:noVBand="1"/>
      </w:tblPr>
      <w:tblGrid>
        <w:gridCol w:w="7115"/>
        <w:gridCol w:w="2173"/>
      </w:tblGrid>
      <w:tr w:rsidR="00B50B7C" w14:paraId="50D0CB54"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227C6041"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18855D28" w14:textId="7B39D49C" w:rsidR="00B50B7C" w:rsidRDefault="00B50B7C" w:rsidP="00BA3F4E">
            <w:pPr>
              <w:keepNext/>
              <w:spacing w:after="0"/>
              <w:jc w:val="center"/>
            </w:pPr>
            <w:r>
              <w:t>ETD</w:t>
            </w:r>
          </w:p>
          <w:p w14:paraId="4F537C35"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751539B1" wp14:editId="4A5335E2">
                  <wp:extent cx="180000" cy="180000"/>
                  <wp:effectExtent l="0" t="0" r="0" b="0"/>
                  <wp:docPr id="31" name="Graphic 31"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E61EC1" w:rsidRPr="0025275D" w14:paraId="53A96BF2" w14:textId="77777777" w:rsidTr="00B44A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2E2EC788" w14:textId="77777777" w:rsidR="00E61EC1" w:rsidRPr="0025275D" w:rsidRDefault="00E61EC1" w:rsidP="00D7267E">
            <w:pPr>
              <w:keepNext/>
              <w:spacing w:after="0"/>
              <w:jc w:val="left"/>
              <w:rPr>
                <w:color w:val="002060"/>
                <w:sz w:val="18"/>
              </w:rPr>
            </w:pPr>
            <w:r>
              <w:rPr>
                <w:color w:val="002060"/>
                <w:sz w:val="18"/>
              </w:rPr>
              <w:t>Ο αιτών διαθέτει έγκυρο αριθμό EORI</w:t>
            </w:r>
          </w:p>
        </w:tc>
      </w:tr>
      <w:tr w:rsidR="00E61EC1" w:rsidRPr="0025275D" w14:paraId="5F8147B7" w14:textId="77777777" w:rsidTr="00B44AF6">
        <w:trPr>
          <w:trHeight w:val="454"/>
          <w:jc w:val="center"/>
        </w:trPr>
        <w:tc>
          <w:tcPr>
            <w:tcW w:w="5000" w:type="pct"/>
            <w:gridSpan w:val="2"/>
            <w:vAlign w:val="center"/>
          </w:tcPr>
          <w:p w14:paraId="259EFDF4" w14:textId="77777777" w:rsidR="00E61EC1" w:rsidRPr="0025275D" w:rsidRDefault="00E61EC1"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7DA91BA8" w14:textId="5C09A4DA" w:rsidR="00E61EC1" w:rsidRPr="00530E6B" w:rsidRDefault="00E61EC1" w:rsidP="00E61EC1">
      <w:pPr>
        <w:pStyle w:val="Caption"/>
      </w:pPr>
      <w:bookmarkStart w:id="30" w:name="_Ref470180236"/>
      <w:r>
        <w:t>Πίνακας </w:t>
      </w:r>
      <w:r>
        <w:rPr>
          <w:noProof/>
        </w:rPr>
        <w:fldChar w:fldCharType="begin"/>
      </w:r>
      <w:r>
        <w:rPr>
          <w:noProof/>
        </w:rPr>
        <w:instrText xml:space="preserve"> SEQ Table \* ARABIC </w:instrText>
      </w:r>
      <w:r>
        <w:rPr>
          <w:noProof/>
        </w:rPr>
        <w:fldChar w:fldCharType="separate"/>
      </w:r>
      <w:r>
        <w:rPr>
          <w:noProof/>
        </w:rPr>
        <w:t>28</w:t>
      </w:r>
      <w:r>
        <w:rPr>
          <w:noProof/>
        </w:rPr>
        <w:fldChar w:fldCharType="end"/>
      </w:r>
      <w:bookmarkEnd w:id="30"/>
      <w:r>
        <w:t xml:space="preserve"> Προϋποθέσεις που επαληθεύονται από το σύστημα - Ηλεκτρονικό έγγραφο μεταφοράς</w:t>
      </w:r>
    </w:p>
    <w:p w14:paraId="3AABB3DD" w14:textId="77777777" w:rsidR="009A3AC4" w:rsidRDefault="009A3AC4" w:rsidP="002366C0">
      <w:pPr>
        <w:pStyle w:val="Heading3"/>
      </w:pPr>
      <w:r>
        <w:t>Τακτική γραμμή θαλάσσιας μεταφοράς</w:t>
      </w:r>
    </w:p>
    <w:p w14:paraId="12DAFEE1" w14:textId="1363163B" w:rsidR="009F1B87" w:rsidRDefault="009F1B87" w:rsidP="009F1B87">
      <w:r>
        <w:t xml:space="preserve">Για το ακόλουθο είδος άδειας, οι προϋποθέσεις προς επαλήθευση από τις τελωνειακές αρχές παρατίθενται στον </w:t>
      </w:r>
      <w:r>
        <w:fldChar w:fldCharType="begin"/>
      </w:r>
      <w:r>
        <w:instrText xml:space="preserve"> REF _Ref470178522 \h </w:instrText>
      </w:r>
      <w:r>
        <w:fldChar w:fldCharType="separate"/>
      </w:r>
      <w:r w:rsidR="0007507A">
        <w:t>Πίνακα</w:t>
      </w:r>
      <w:r>
        <w:t xml:space="preserve"> </w:t>
      </w:r>
      <w:r>
        <w:rPr>
          <w:noProof/>
        </w:rPr>
        <w:t>29</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_Ref470178528 \h </w:instrText>
      </w:r>
      <w:r>
        <w:fldChar w:fldCharType="separate"/>
      </w:r>
      <w:r w:rsidR="0007507A">
        <w:t>Πίνακα</w:t>
      </w:r>
      <w:r>
        <w:t xml:space="preserve"> </w:t>
      </w:r>
      <w:r>
        <w:rPr>
          <w:noProof/>
        </w:rPr>
        <w:t>30</w:t>
      </w:r>
      <w:r>
        <w:fldChar w:fldCharType="end"/>
      </w:r>
      <w:r>
        <w:t>.</w:t>
      </w:r>
    </w:p>
    <w:p w14:paraId="74C8EAF1" w14:textId="019233F6" w:rsidR="009F1B87" w:rsidRDefault="009A6C55" w:rsidP="00AD5B79">
      <w:pPr>
        <w:pStyle w:val="ListParagraph"/>
        <w:numPr>
          <w:ilvl w:val="0"/>
          <w:numId w:val="8"/>
        </w:numPr>
        <w:ind w:left="568" w:hanging="284"/>
        <w:contextualSpacing w:val="0"/>
      </w:pPr>
      <w:r>
        <w:t>Άδεια λειτουργίας τακτικής γραμμής θαλάσσιας μεταφοράς.</w:t>
      </w:r>
    </w:p>
    <w:tbl>
      <w:tblPr>
        <w:tblStyle w:val="GridTable5Dark-Accent61"/>
        <w:tblW w:w="5000" w:type="pct"/>
        <w:tblLook w:val="0420" w:firstRow="1" w:lastRow="0" w:firstColumn="0" w:lastColumn="0" w:noHBand="0" w:noVBand="1"/>
      </w:tblPr>
      <w:tblGrid>
        <w:gridCol w:w="7115"/>
        <w:gridCol w:w="2173"/>
      </w:tblGrid>
      <w:tr w:rsidR="00B50B7C" w14:paraId="2080D12E" w14:textId="77777777" w:rsidTr="00BA3F4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69A0AC98" w14:textId="77777777" w:rsidR="00B50B7C" w:rsidRDefault="00B50B7C" w:rsidP="00BA3F4E">
            <w:pPr>
              <w:keepNext/>
              <w:spacing w:after="0"/>
              <w:jc w:val="left"/>
              <w:rPr>
                <w:b w:val="0"/>
                <w:bCs w:val="0"/>
              </w:rPr>
            </w:pPr>
            <w:r>
              <w:t>Προϋποθέσεις προς επαλήθευση από τις τελωνειακές αρχές</w:t>
            </w:r>
          </w:p>
        </w:tc>
        <w:tc>
          <w:tcPr>
            <w:tcW w:w="1170" w:type="pct"/>
            <w:vAlign w:val="center"/>
          </w:tcPr>
          <w:p w14:paraId="540A2E84" w14:textId="5A4DE4F1" w:rsidR="00B50B7C" w:rsidRDefault="00B50B7C" w:rsidP="00BA3F4E">
            <w:pPr>
              <w:keepNext/>
              <w:spacing w:after="0"/>
              <w:jc w:val="center"/>
            </w:pPr>
            <w:r>
              <w:t>RSS</w:t>
            </w:r>
          </w:p>
          <w:p w14:paraId="25A75BFD" w14:textId="77777777" w:rsidR="00B50B7C" w:rsidRDefault="00B50B7C" w:rsidP="00BA3F4E">
            <w:pPr>
              <w:keepNext/>
              <w:spacing w:after="0"/>
              <w:jc w:val="center"/>
            </w:pPr>
            <w:r>
              <w:rPr>
                <w:noProof/>
                <w:lang w:val="en-GB" w:eastAsia="en-GB" w:bidi="ar-SA"/>
              </w:rPr>
              <w:drawing>
                <wp:inline distT="0" distB="0" distL="0" distR="0" wp14:anchorId="08E58424" wp14:editId="680B15EB">
                  <wp:extent cx="179705" cy="179705"/>
                  <wp:effectExtent l="0" t="0" r="0" b="0"/>
                  <wp:docPr id="18" name="Graphic 1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9F1B87" w:rsidRPr="0025275D" w14:paraId="4148CE9F"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137D1985" w14:textId="77777777" w:rsidR="009F1B87" w:rsidRPr="0025275D" w:rsidRDefault="009F1B87" w:rsidP="00D7267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9F1B87" w:rsidRPr="0025275D" w14:paraId="1ACC7A7E" w14:textId="77777777" w:rsidTr="00E61EC1">
        <w:trPr>
          <w:trHeight w:val="454"/>
        </w:trPr>
        <w:tc>
          <w:tcPr>
            <w:tcW w:w="5000" w:type="pct"/>
            <w:gridSpan w:val="2"/>
            <w:vAlign w:val="center"/>
          </w:tcPr>
          <w:p w14:paraId="212B724B" w14:textId="77777777" w:rsidR="009F1B87" w:rsidRPr="0025275D" w:rsidRDefault="009F1B87" w:rsidP="00D7267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9F1B87" w:rsidRPr="0025275D" w14:paraId="30E8BEC5" w14:textId="77777777" w:rsidTr="00E61EC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3184060C" w14:textId="77777777" w:rsidR="009F1B87" w:rsidRPr="0025275D" w:rsidRDefault="009F1B87" w:rsidP="00D7267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9F1B87" w:rsidRPr="0025275D" w14:paraId="3FAF8330" w14:textId="77777777" w:rsidTr="00E61EC1">
        <w:trPr>
          <w:trHeight w:val="454"/>
        </w:trPr>
        <w:tc>
          <w:tcPr>
            <w:tcW w:w="5000" w:type="pct"/>
            <w:gridSpan w:val="2"/>
            <w:vAlign w:val="center"/>
          </w:tcPr>
          <w:p w14:paraId="6BEB5F2F" w14:textId="77777777" w:rsidR="009F1B87" w:rsidRPr="0025275D" w:rsidRDefault="009F1B87" w:rsidP="00D7267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2622F9F4" w14:textId="53906CE1" w:rsidR="009F1B87" w:rsidRDefault="009F1B87" w:rsidP="009F1B87">
      <w:pPr>
        <w:pStyle w:val="Caption"/>
      </w:pPr>
      <w:bookmarkStart w:id="31" w:name="_Ref470178522"/>
      <w:r>
        <w:t>Πίνακας </w:t>
      </w:r>
      <w:r>
        <w:rPr>
          <w:noProof/>
        </w:rPr>
        <w:fldChar w:fldCharType="begin"/>
      </w:r>
      <w:r>
        <w:rPr>
          <w:noProof/>
        </w:rPr>
        <w:instrText xml:space="preserve"> SEQ Table \* ARABIC </w:instrText>
      </w:r>
      <w:r>
        <w:rPr>
          <w:noProof/>
        </w:rPr>
        <w:fldChar w:fldCharType="separate"/>
      </w:r>
      <w:r>
        <w:rPr>
          <w:noProof/>
        </w:rPr>
        <w:t>29</w:t>
      </w:r>
      <w:r>
        <w:rPr>
          <w:noProof/>
        </w:rPr>
        <w:fldChar w:fldCharType="end"/>
      </w:r>
      <w:bookmarkEnd w:id="31"/>
      <w:r>
        <w:t xml:space="preserve"> Προϋποθέσεις προς επαλήθευση από τις τελωνειακές αρχές - Τακτική γραμμή θαλάσσιας μεταφοράς</w:t>
      </w:r>
    </w:p>
    <w:p w14:paraId="26DBC93A" w14:textId="77777777" w:rsidR="009F1B87" w:rsidRPr="006531B1" w:rsidRDefault="009F1B87" w:rsidP="009F1B87"/>
    <w:tbl>
      <w:tblPr>
        <w:tblStyle w:val="GridTable5Dark-Accent51"/>
        <w:tblW w:w="5000" w:type="pct"/>
        <w:jc w:val="center"/>
        <w:tblLook w:val="0420" w:firstRow="1" w:lastRow="0" w:firstColumn="0" w:lastColumn="0" w:noHBand="0" w:noVBand="1"/>
      </w:tblPr>
      <w:tblGrid>
        <w:gridCol w:w="7115"/>
        <w:gridCol w:w="2173"/>
      </w:tblGrid>
      <w:tr w:rsidR="00B50B7C" w14:paraId="35AD5801" w14:textId="77777777" w:rsidTr="00BA3F4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41A2CF4A" w14:textId="77777777" w:rsidR="00B50B7C" w:rsidRDefault="00B50B7C" w:rsidP="00BA3F4E">
            <w:pPr>
              <w:keepNext/>
              <w:spacing w:after="0"/>
              <w:jc w:val="left"/>
              <w:rPr>
                <w:b w:val="0"/>
                <w:bCs w:val="0"/>
              </w:rPr>
            </w:pPr>
            <w:r>
              <w:t>Προϋποθέσεις που επαληθεύονται από το σύστημα</w:t>
            </w:r>
          </w:p>
        </w:tc>
        <w:tc>
          <w:tcPr>
            <w:tcW w:w="1170" w:type="pct"/>
            <w:vAlign w:val="center"/>
          </w:tcPr>
          <w:p w14:paraId="1DF727EC" w14:textId="08E4F33C" w:rsidR="00B50B7C" w:rsidRDefault="00B50B7C" w:rsidP="00BA3F4E">
            <w:pPr>
              <w:keepNext/>
              <w:spacing w:after="0"/>
              <w:jc w:val="center"/>
            </w:pPr>
            <w:r>
              <w:t>RSS</w:t>
            </w:r>
          </w:p>
          <w:p w14:paraId="2DC33AA3" w14:textId="77777777" w:rsidR="00B50B7C" w:rsidRDefault="00B50B7C" w:rsidP="00BA3F4E">
            <w:pPr>
              <w:keepNext/>
              <w:spacing w:after="0"/>
              <w:jc w:val="center"/>
            </w:pPr>
            <w:r>
              <w:rPr>
                <w:noProof/>
                <w:color w:val="806000" w:themeColor="accent4" w:themeShade="80"/>
                <w:sz w:val="16"/>
                <w:lang w:val="en-GB" w:eastAsia="en-GB" w:bidi="ar-SA"/>
              </w:rPr>
              <w:drawing>
                <wp:inline distT="0" distB="0" distL="0" distR="0" wp14:anchorId="56160191" wp14:editId="25470466">
                  <wp:extent cx="180000" cy="180000"/>
                  <wp:effectExtent l="0" t="0" r="0" b="0"/>
                  <wp:docPr id="32" name="Graphic 32"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9F1B87" w:rsidRPr="0025275D" w14:paraId="55066286" w14:textId="77777777" w:rsidTr="00E61EC1">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01E8A4C9" w14:textId="77777777" w:rsidR="009F1B87" w:rsidRPr="0025275D" w:rsidRDefault="009F1B87" w:rsidP="00D7267E">
            <w:pPr>
              <w:keepNext/>
              <w:spacing w:after="0"/>
              <w:jc w:val="left"/>
              <w:rPr>
                <w:color w:val="002060"/>
                <w:sz w:val="18"/>
              </w:rPr>
            </w:pPr>
            <w:r>
              <w:rPr>
                <w:color w:val="002060"/>
                <w:sz w:val="18"/>
              </w:rPr>
              <w:t>Ο αιτών διαθέτει έγκυρο αριθμό EORI</w:t>
            </w:r>
          </w:p>
        </w:tc>
      </w:tr>
      <w:tr w:rsidR="009F1B87" w:rsidRPr="0025275D" w14:paraId="70B3F462" w14:textId="77777777" w:rsidTr="00E61EC1">
        <w:trPr>
          <w:trHeight w:val="454"/>
          <w:jc w:val="center"/>
        </w:trPr>
        <w:tc>
          <w:tcPr>
            <w:tcW w:w="5000" w:type="pct"/>
            <w:gridSpan w:val="2"/>
            <w:vAlign w:val="center"/>
          </w:tcPr>
          <w:p w14:paraId="70FE8EAA" w14:textId="77777777" w:rsidR="009F1B87" w:rsidRPr="0025275D" w:rsidRDefault="009F1B87" w:rsidP="00D7267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4AC889B2" w14:textId="3A0CA6D5" w:rsidR="009A3AC4" w:rsidRPr="00530E6B" w:rsidRDefault="009F1B87" w:rsidP="00E61EC1">
      <w:pPr>
        <w:pStyle w:val="Caption"/>
      </w:pPr>
      <w:bookmarkStart w:id="32" w:name="_Ref470178528"/>
      <w:r>
        <w:t>Πίνακας </w:t>
      </w:r>
      <w:r>
        <w:rPr>
          <w:noProof/>
        </w:rPr>
        <w:fldChar w:fldCharType="begin"/>
      </w:r>
      <w:r>
        <w:rPr>
          <w:noProof/>
        </w:rPr>
        <w:instrText xml:space="preserve"> SEQ Table \* ARABIC </w:instrText>
      </w:r>
      <w:r>
        <w:rPr>
          <w:noProof/>
        </w:rPr>
        <w:fldChar w:fldCharType="separate"/>
      </w:r>
      <w:r>
        <w:rPr>
          <w:noProof/>
        </w:rPr>
        <w:t>30</w:t>
      </w:r>
      <w:r>
        <w:rPr>
          <w:noProof/>
        </w:rPr>
        <w:fldChar w:fldCharType="end"/>
      </w:r>
      <w:bookmarkEnd w:id="32"/>
      <w:r>
        <w:t xml:space="preserve"> Προϋποθέσεις που επαληθεύονται από το σύστημα - Τακτική γραμμή θαλάσσιας μεταφοράς</w:t>
      </w:r>
    </w:p>
    <w:p w14:paraId="2F0C44A2" w14:textId="26856298" w:rsidR="00AD5B79" w:rsidRDefault="0007507A" w:rsidP="00AD5B79">
      <w:pPr>
        <w:pStyle w:val="Heading3"/>
      </w:pPr>
      <w:r>
        <w:t>Α</w:t>
      </w:r>
      <w:r w:rsidR="00AD5B79">
        <w:t>λλες αιτήσεις (Τυπική διαδικασία)</w:t>
      </w:r>
    </w:p>
    <w:p w14:paraId="04B1CEED" w14:textId="784A5F88" w:rsidR="00AD5B79" w:rsidRDefault="008663CC" w:rsidP="00AD5B79">
      <w:r>
        <w:t xml:space="preserve">Για τα ακόλουθα είδη αδειών, οι προϋποθέσεις προς επαλήθευση από τις τελωνειακές αρχές παρατίθενται στον </w:t>
      </w:r>
      <w:r>
        <w:fldChar w:fldCharType="begin"/>
      </w:r>
      <w:r>
        <w:instrText xml:space="preserve"> REF _Ref470176702 \h </w:instrText>
      </w:r>
      <w:r>
        <w:fldChar w:fldCharType="separate"/>
      </w:r>
      <w:r w:rsidR="0007507A">
        <w:t>Πίνακα</w:t>
      </w:r>
      <w:r>
        <w:t xml:space="preserve"> </w:t>
      </w:r>
      <w:r>
        <w:rPr>
          <w:noProof/>
        </w:rPr>
        <w:t>31</w:t>
      </w:r>
      <w:r>
        <w:fldChar w:fldCharType="end"/>
      </w:r>
      <w:r>
        <w:t xml:space="preserve">, ενώ οι προϋποθέσεις που ελέγχονται αυτομάτως από το σύστημα παρατίθενται στον </w:t>
      </w:r>
      <w:r>
        <w:fldChar w:fldCharType="begin"/>
      </w:r>
      <w:r>
        <w:instrText xml:space="preserve"> REF _Ref470176699 \h </w:instrText>
      </w:r>
      <w:r>
        <w:fldChar w:fldCharType="separate"/>
      </w:r>
      <w:r w:rsidR="0007507A">
        <w:t>Πίνακα</w:t>
      </w:r>
      <w:r>
        <w:t xml:space="preserve"> </w:t>
      </w:r>
      <w:r>
        <w:rPr>
          <w:noProof/>
        </w:rPr>
        <w:t>32</w:t>
      </w:r>
      <w:r>
        <w:fldChar w:fldCharType="end"/>
      </w:r>
      <w:r>
        <w:t>.</w:t>
      </w:r>
    </w:p>
    <w:p w14:paraId="345C05EF" w14:textId="77777777" w:rsidR="00AD5B79" w:rsidRDefault="00AD5B79" w:rsidP="00AD5B79">
      <w:pPr>
        <w:pStyle w:val="ListParagraph"/>
        <w:numPr>
          <w:ilvl w:val="0"/>
          <w:numId w:val="8"/>
        </w:numPr>
        <w:ind w:left="568" w:hanging="284"/>
        <w:contextualSpacing w:val="0"/>
      </w:pPr>
      <w:r>
        <w:t>Άδεια για την παροχή συνολικής εγγύησης, περιλαμβανομένης της πιθανής εγγύησης μειωμένου ποσού ή της απαλλαγής από την υποχρέωση σύστασης εγγύησης·</w:t>
      </w:r>
    </w:p>
    <w:p w14:paraId="495C5F44" w14:textId="77777777" w:rsidR="00AD5B79" w:rsidRDefault="00AD5B79" w:rsidP="00AD5B79">
      <w:pPr>
        <w:pStyle w:val="ListParagraph"/>
        <w:numPr>
          <w:ilvl w:val="0"/>
          <w:numId w:val="8"/>
        </w:numPr>
        <w:ind w:left="568" w:hanging="284"/>
        <w:contextualSpacing w:val="0"/>
      </w:pPr>
      <w:r>
        <w:t>Άδεια αναστολής πληρωμής του καταβλητέου δασμού, εφόσον η άδεια δεν χορηγείται για μία και μόνο πράξη·</w:t>
      </w:r>
    </w:p>
    <w:p w14:paraId="77BF8B71" w14:textId="77777777" w:rsidR="00AD5B79" w:rsidRDefault="00AD5B79" w:rsidP="00AD5B79">
      <w:pPr>
        <w:pStyle w:val="ListParagraph"/>
        <w:numPr>
          <w:ilvl w:val="0"/>
          <w:numId w:val="8"/>
        </w:numPr>
        <w:ind w:left="568" w:hanging="284"/>
        <w:contextualSpacing w:val="0"/>
      </w:pPr>
      <w:r>
        <w:t>Άδεια για την απλούστευση του προσδιορισμού των ποσών που περιλαμβάνονται στη δασμολογητέα αξία των εμπορευμάτων.</w:t>
      </w:r>
    </w:p>
    <w:p w14:paraId="0A5562CB" w14:textId="77777777" w:rsidR="00AD5B79" w:rsidRDefault="00AD5B79" w:rsidP="00AD5B79"/>
    <w:tbl>
      <w:tblPr>
        <w:tblStyle w:val="GridTable4-Accent61"/>
        <w:tblW w:w="5000" w:type="pct"/>
        <w:tblLook w:val="0420" w:firstRow="1" w:lastRow="0" w:firstColumn="0" w:lastColumn="0" w:noHBand="0" w:noVBand="1"/>
      </w:tblPr>
      <w:tblGrid>
        <w:gridCol w:w="7115"/>
        <w:gridCol w:w="2173"/>
      </w:tblGrid>
      <w:tr w:rsidR="00AD5B79" w14:paraId="008761B8" w14:textId="77777777" w:rsidTr="00330A3E">
        <w:trPr>
          <w:cnfStyle w:val="100000000000" w:firstRow="1" w:lastRow="0" w:firstColumn="0" w:lastColumn="0" w:oddVBand="0" w:evenVBand="0" w:oddHBand="0" w:evenHBand="0" w:firstRowFirstColumn="0" w:firstRowLastColumn="0" w:lastRowFirstColumn="0" w:lastRowLastColumn="0"/>
          <w:trHeight w:val="454"/>
        </w:trPr>
        <w:tc>
          <w:tcPr>
            <w:tcW w:w="3830" w:type="pct"/>
            <w:vAlign w:val="center"/>
          </w:tcPr>
          <w:p w14:paraId="08BBB93A" w14:textId="77777777" w:rsidR="00AD5B79" w:rsidRDefault="00AD5B79" w:rsidP="00330A3E">
            <w:pPr>
              <w:keepNext/>
              <w:spacing w:after="0"/>
              <w:jc w:val="left"/>
              <w:rPr>
                <w:b w:val="0"/>
                <w:bCs w:val="0"/>
              </w:rPr>
            </w:pPr>
            <w:r>
              <w:t>Προϋποθέσεις προς επαλήθευση από τις τελωνειακές αρχές</w:t>
            </w:r>
          </w:p>
        </w:tc>
        <w:tc>
          <w:tcPr>
            <w:tcW w:w="1170" w:type="pct"/>
          </w:tcPr>
          <w:p w14:paraId="24BD9162" w14:textId="77777777" w:rsidR="00AD5B79" w:rsidRDefault="00AD5B79" w:rsidP="00330A3E">
            <w:pPr>
              <w:keepNext/>
              <w:spacing w:after="0"/>
              <w:jc w:val="center"/>
            </w:pPr>
            <w:r>
              <w:t>CGU, DPA, CVA</w:t>
            </w:r>
          </w:p>
          <w:p w14:paraId="177F0FA1" w14:textId="77777777" w:rsidR="00AD5B79" w:rsidRDefault="00AD5B79" w:rsidP="00330A3E">
            <w:pPr>
              <w:keepNext/>
              <w:spacing w:after="0"/>
              <w:jc w:val="center"/>
            </w:pPr>
            <w:r>
              <w:rPr>
                <w:noProof/>
                <w:lang w:val="en-GB" w:eastAsia="en-GB" w:bidi="ar-SA"/>
              </w:rPr>
              <w:drawing>
                <wp:inline distT="0" distB="0" distL="0" distR="0" wp14:anchorId="1737AB5A" wp14:editId="4DB55A7C">
                  <wp:extent cx="179705" cy="179705"/>
                  <wp:effectExtent l="0" t="0" r="0" b="0"/>
                  <wp:docPr id="2" name="Graphic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4"/>
                              </a:ext>
                            </a:extLst>
                          </a:blip>
                          <a:stretch>
                            <a:fillRect/>
                          </a:stretch>
                        </pic:blipFill>
                        <pic:spPr>
                          <a:xfrm>
                            <a:off x="0" y="0"/>
                            <a:ext cx="179705" cy="179705"/>
                          </a:xfrm>
                          <a:prstGeom prst="rect">
                            <a:avLst/>
                          </a:prstGeom>
                        </pic:spPr>
                      </pic:pic>
                    </a:graphicData>
                  </a:graphic>
                </wp:inline>
              </w:drawing>
            </w:r>
          </w:p>
        </w:tc>
      </w:tr>
      <w:tr w:rsidR="00AD5B79" w:rsidRPr="0025275D" w14:paraId="2CEA4AC7" w14:textId="77777777" w:rsidTr="00330A3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64BC753B" w14:textId="77777777" w:rsidR="00AD5B79" w:rsidRPr="0025275D" w:rsidRDefault="00AD5B79" w:rsidP="00330A3E">
            <w:pPr>
              <w:keepNext/>
              <w:spacing w:after="0"/>
              <w:jc w:val="left"/>
              <w:rPr>
                <w:color w:val="385623" w:themeColor="accent6" w:themeShade="80"/>
                <w:sz w:val="18"/>
              </w:rPr>
            </w:pPr>
            <w:r>
              <w:rPr>
                <w:color w:val="385623" w:themeColor="accent6" w:themeShade="80"/>
                <w:sz w:val="18"/>
              </w:rPr>
              <w:t>Ο αιτών δεν υποβάλλει αίτηση για τον ίδιο σκοπό όπως για την ανακληθείσα ή την ακυρωθείσα απόφαση</w:t>
            </w:r>
          </w:p>
        </w:tc>
      </w:tr>
      <w:tr w:rsidR="00AD5B79" w:rsidRPr="0025275D" w14:paraId="3EB6C24C" w14:textId="77777777" w:rsidTr="00330A3E">
        <w:trPr>
          <w:trHeight w:val="454"/>
        </w:trPr>
        <w:tc>
          <w:tcPr>
            <w:tcW w:w="5000" w:type="pct"/>
            <w:gridSpan w:val="2"/>
            <w:vAlign w:val="center"/>
          </w:tcPr>
          <w:p w14:paraId="33437A47" w14:textId="77777777" w:rsidR="00AD5B79" w:rsidRPr="0025275D" w:rsidRDefault="00AD5B79" w:rsidP="00330A3E">
            <w:pPr>
              <w:keepNext/>
              <w:spacing w:after="0"/>
              <w:jc w:val="left"/>
              <w:rPr>
                <w:color w:val="385623" w:themeColor="accent6" w:themeShade="80"/>
                <w:sz w:val="18"/>
              </w:rPr>
            </w:pPr>
            <w:r>
              <w:rPr>
                <w:color w:val="385623" w:themeColor="accent6" w:themeShade="80"/>
                <w:sz w:val="18"/>
              </w:rPr>
              <w:t>Η αίτηση περιλαμβάνει όλες τις απαιτούμενες πληροφορίες</w:t>
            </w:r>
          </w:p>
        </w:tc>
      </w:tr>
      <w:tr w:rsidR="00AD5B79" w:rsidRPr="0025275D" w14:paraId="71908C87" w14:textId="77777777" w:rsidTr="00330A3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14:paraId="0448A28C" w14:textId="77777777" w:rsidR="00AD5B79" w:rsidRPr="0025275D" w:rsidRDefault="00AD5B79" w:rsidP="00330A3E">
            <w:pPr>
              <w:keepNext/>
              <w:spacing w:after="0"/>
              <w:jc w:val="left"/>
              <w:rPr>
                <w:color w:val="385623" w:themeColor="accent6" w:themeShade="80"/>
                <w:sz w:val="18"/>
              </w:rPr>
            </w:pPr>
            <w:r>
              <w:rPr>
                <w:color w:val="385623" w:themeColor="accent6" w:themeShade="80"/>
                <w:sz w:val="18"/>
              </w:rPr>
              <w:t>Οι κύριες λογιστικές καταχωρίσεις για τελωνειακούς σκοπούς του αιτούντος τηρούνται ή είναι προσβάσιμες στον τόπο της αρμόδιας τελωνειακής αρχής</w:t>
            </w:r>
          </w:p>
        </w:tc>
      </w:tr>
      <w:tr w:rsidR="00AD5B79" w:rsidRPr="0025275D" w14:paraId="3A88406D" w14:textId="77777777" w:rsidTr="00330A3E">
        <w:trPr>
          <w:trHeight w:val="454"/>
        </w:trPr>
        <w:tc>
          <w:tcPr>
            <w:tcW w:w="5000" w:type="pct"/>
            <w:gridSpan w:val="2"/>
            <w:vAlign w:val="center"/>
          </w:tcPr>
          <w:p w14:paraId="516C15AC" w14:textId="77777777" w:rsidR="00AD5B79" w:rsidRPr="0025275D" w:rsidRDefault="00AD5B79" w:rsidP="00330A3E">
            <w:pPr>
              <w:keepNext/>
              <w:spacing w:after="0"/>
              <w:jc w:val="left"/>
              <w:rPr>
                <w:color w:val="385623" w:themeColor="accent6" w:themeShade="80"/>
                <w:sz w:val="18"/>
              </w:rPr>
            </w:pPr>
            <w:r>
              <w:rPr>
                <w:color w:val="385623" w:themeColor="accent6" w:themeShade="80"/>
                <w:sz w:val="18"/>
              </w:rPr>
              <w:t>Μέρος των δραστηριοτήτων του αιτούντος διεξάγονται στον τόπο της αρμόδιας τελωνειακής αρχής</w:t>
            </w:r>
          </w:p>
        </w:tc>
      </w:tr>
    </w:tbl>
    <w:p w14:paraId="181C6061" w14:textId="171B6854" w:rsidR="00AD5B79" w:rsidRDefault="00AD5B79" w:rsidP="00AD5B79">
      <w:pPr>
        <w:pStyle w:val="Caption"/>
      </w:pPr>
      <w:bookmarkStart w:id="33" w:name="_Ref470176702"/>
      <w:bookmarkStart w:id="34" w:name="_Ref470176691"/>
      <w:r>
        <w:t>Πίνακας </w:t>
      </w:r>
      <w:r>
        <w:rPr>
          <w:noProof/>
        </w:rPr>
        <w:fldChar w:fldCharType="begin"/>
      </w:r>
      <w:r>
        <w:rPr>
          <w:noProof/>
        </w:rPr>
        <w:instrText xml:space="preserve"> SEQ Table \* ARABIC </w:instrText>
      </w:r>
      <w:r>
        <w:rPr>
          <w:noProof/>
        </w:rPr>
        <w:fldChar w:fldCharType="separate"/>
      </w:r>
      <w:r>
        <w:rPr>
          <w:noProof/>
        </w:rPr>
        <w:t>31</w:t>
      </w:r>
      <w:r>
        <w:rPr>
          <w:noProof/>
        </w:rPr>
        <w:fldChar w:fldCharType="end"/>
      </w:r>
      <w:bookmarkEnd w:id="33"/>
      <w:r>
        <w:t xml:space="preserve"> Προϋποθέσεις προς επαλήθευση από τις τελωνειακές αρχές - Τυπική διαδικασία</w:t>
      </w:r>
      <w:bookmarkEnd w:id="34"/>
    </w:p>
    <w:p w14:paraId="13AA275B" w14:textId="77777777" w:rsidR="00AD5B79" w:rsidRPr="006531B1" w:rsidRDefault="00AD5B79" w:rsidP="00AD5B79"/>
    <w:tbl>
      <w:tblPr>
        <w:tblStyle w:val="GridTable5Dark-Accent51"/>
        <w:tblW w:w="5000" w:type="pct"/>
        <w:jc w:val="center"/>
        <w:tblLook w:val="0420" w:firstRow="1" w:lastRow="0" w:firstColumn="0" w:lastColumn="0" w:noHBand="0" w:noVBand="1"/>
      </w:tblPr>
      <w:tblGrid>
        <w:gridCol w:w="7115"/>
        <w:gridCol w:w="2173"/>
      </w:tblGrid>
      <w:tr w:rsidR="00AD5B79" w14:paraId="675AEE7D" w14:textId="77777777" w:rsidTr="00330A3E">
        <w:trPr>
          <w:cnfStyle w:val="100000000000" w:firstRow="1" w:lastRow="0" w:firstColumn="0" w:lastColumn="0" w:oddVBand="0" w:evenVBand="0" w:oddHBand="0" w:evenHBand="0" w:firstRowFirstColumn="0" w:firstRowLastColumn="0" w:lastRowFirstColumn="0" w:lastRowLastColumn="0"/>
          <w:trHeight w:val="454"/>
          <w:jc w:val="center"/>
        </w:trPr>
        <w:tc>
          <w:tcPr>
            <w:tcW w:w="3830" w:type="pct"/>
            <w:vAlign w:val="center"/>
          </w:tcPr>
          <w:p w14:paraId="01B497CB" w14:textId="77777777" w:rsidR="00AD5B79" w:rsidRDefault="00AD5B79" w:rsidP="00330A3E">
            <w:pPr>
              <w:keepNext/>
              <w:spacing w:after="0"/>
              <w:jc w:val="left"/>
              <w:rPr>
                <w:b w:val="0"/>
                <w:bCs w:val="0"/>
              </w:rPr>
            </w:pPr>
            <w:r>
              <w:t>Προϋποθέσεις που επαληθεύονται από το σύστημα</w:t>
            </w:r>
          </w:p>
        </w:tc>
        <w:tc>
          <w:tcPr>
            <w:tcW w:w="1170" w:type="pct"/>
            <w:vAlign w:val="center"/>
          </w:tcPr>
          <w:p w14:paraId="082FF009" w14:textId="77777777" w:rsidR="00AD5B79" w:rsidRDefault="00AD5B79" w:rsidP="00330A3E">
            <w:pPr>
              <w:keepNext/>
              <w:spacing w:after="0"/>
              <w:jc w:val="center"/>
            </w:pPr>
            <w:r>
              <w:t>CGU, DPA, CVA</w:t>
            </w:r>
          </w:p>
          <w:p w14:paraId="32183FF9" w14:textId="77777777" w:rsidR="00AD5B79" w:rsidRDefault="00AD5B79" w:rsidP="00330A3E">
            <w:pPr>
              <w:keepNext/>
              <w:spacing w:after="0"/>
              <w:jc w:val="center"/>
            </w:pPr>
            <w:r>
              <w:rPr>
                <w:noProof/>
                <w:color w:val="806000" w:themeColor="accent4" w:themeShade="80"/>
                <w:sz w:val="16"/>
                <w:lang w:val="en-GB" w:eastAsia="en-GB" w:bidi="ar-SA"/>
              </w:rPr>
              <w:drawing>
                <wp:inline distT="0" distB="0" distL="0" distR="0" wp14:anchorId="415D2921" wp14:editId="2DFFA7EA">
                  <wp:extent cx="180000" cy="180000"/>
                  <wp:effectExtent l="0" t="0" r="0" b="0"/>
                  <wp:docPr id="3" name="Graphic 3"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26"/>
                              </a:ext>
                            </a:extLst>
                          </a:blip>
                          <a:stretch>
                            <a:fillRect/>
                          </a:stretch>
                        </pic:blipFill>
                        <pic:spPr>
                          <a:xfrm>
                            <a:off x="0" y="0"/>
                            <a:ext cx="180000" cy="180000"/>
                          </a:xfrm>
                          <a:prstGeom prst="rect">
                            <a:avLst/>
                          </a:prstGeom>
                        </pic:spPr>
                      </pic:pic>
                    </a:graphicData>
                  </a:graphic>
                </wp:inline>
              </w:drawing>
            </w:r>
          </w:p>
        </w:tc>
      </w:tr>
      <w:tr w:rsidR="00AD5B79" w:rsidRPr="0025275D" w14:paraId="0402A732" w14:textId="77777777" w:rsidTr="00330A3E">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14:paraId="267C2776" w14:textId="77777777" w:rsidR="00AD5B79" w:rsidRPr="0025275D" w:rsidRDefault="00AD5B79" w:rsidP="00330A3E">
            <w:pPr>
              <w:keepNext/>
              <w:spacing w:after="0"/>
              <w:jc w:val="left"/>
              <w:rPr>
                <w:color w:val="002060"/>
                <w:sz w:val="18"/>
              </w:rPr>
            </w:pPr>
            <w:r>
              <w:rPr>
                <w:color w:val="002060"/>
                <w:sz w:val="18"/>
              </w:rPr>
              <w:t>Ο αιτών διαθέτει έγκυρο αριθμό EORI</w:t>
            </w:r>
          </w:p>
        </w:tc>
      </w:tr>
      <w:tr w:rsidR="00AD5B79" w:rsidRPr="0025275D" w14:paraId="27BC3340" w14:textId="77777777" w:rsidTr="00330A3E">
        <w:trPr>
          <w:trHeight w:val="454"/>
          <w:jc w:val="center"/>
        </w:trPr>
        <w:tc>
          <w:tcPr>
            <w:tcW w:w="5000" w:type="pct"/>
            <w:gridSpan w:val="2"/>
            <w:vAlign w:val="center"/>
          </w:tcPr>
          <w:p w14:paraId="74D4EE05" w14:textId="77777777" w:rsidR="00AD5B79" w:rsidRPr="0025275D" w:rsidRDefault="00AD5B79" w:rsidP="00330A3E">
            <w:pPr>
              <w:keepNext/>
              <w:spacing w:after="0"/>
              <w:jc w:val="left"/>
              <w:rPr>
                <w:color w:val="002060"/>
                <w:sz w:val="18"/>
              </w:rPr>
            </w:pPr>
            <w:r>
              <w:rPr>
                <w:color w:val="002060"/>
                <w:sz w:val="18"/>
              </w:rPr>
              <w:t>Ο αιτών είναι εγκατεστημένος στο τελωνειακό έδαφος της Ένωσης</w:t>
            </w:r>
          </w:p>
        </w:tc>
      </w:tr>
    </w:tbl>
    <w:p w14:paraId="7A06D46C" w14:textId="7014F245" w:rsidR="00AD5B79" w:rsidRDefault="00AD5B79" w:rsidP="00AD5B79">
      <w:pPr>
        <w:pStyle w:val="Caption"/>
      </w:pPr>
      <w:bookmarkStart w:id="35" w:name="_Ref470176699"/>
      <w:bookmarkStart w:id="36" w:name="_Ref470176693"/>
      <w:r>
        <w:t>Πίνακας </w:t>
      </w:r>
      <w:r>
        <w:rPr>
          <w:noProof/>
        </w:rPr>
        <w:fldChar w:fldCharType="begin"/>
      </w:r>
      <w:r>
        <w:rPr>
          <w:noProof/>
        </w:rPr>
        <w:instrText xml:space="preserve"> SEQ Table \* ARABIC </w:instrText>
      </w:r>
      <w:r>
        <w:rPr>
          <w:noProof/>
        </w:rPr>
        <w:fldChar w:fldCharType="separate"/>
      </w:r>
      <w:r>
        <w:rPr>
          <w:noProof/>
        </w:rPr>
        <w:t>32</w:t>
      </w:r>
      <w:r>
        <w:rPr>
          <w:noProof/>
        </w:rPr>
        <w:fldChar w:fldCharType="end"/>
      </w:r>
      <w:bookmarkEnd w:id="35"/>
      <w:r>
        <w:t xml:space="preserve"> Προϋποθέσεις που επαληθεύονται από το σύστημα - Τυπική διαδικασία</w:t>
      </w:r>
      <w:bookmarkEnd w:id="36"/>
    </w:p>
    <w:p w14:paraId="002C9C07" w14:textId="77777777" w:rsidR="00AD5B79" w:rsidRDefault="00AD5B79">
      <w:pPr>
        <w:spacing w:after="0"/>
        <w:jc w:val="left"/>
        <w:rPr>
          <w:rFonts w:ascii="Times New Roman" w:hAnsi="Times New Roman"/>
          <w:szCs w:val="20"/>
        </w:rPr>
      </w:pPr>
    </w:p>
    <w:sectPr w:rsidR="00AD5B79" w:rsidSect="0056695E">
      <w:headerReference w:type="default" r:id="rId27"/>
      <w:footerReference w:type="default" r:id="rId28"/>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BD222" w14:textId="77777777" w:rsidR="00437780" w:rsidRDefault="00437780">
      <w:r>
        <w:separator/>
      </w:r>
    </w:p>
  </w:endnote>
  <w:endnote w:type="continuationSeparator" w:id="0">
    <w:p w14:paraId="3BD18CC0" w14:textId="77777777" w:rsidR="00437780" w:rsidRDefault="0043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12178"/>
      <w:docPartObj>
        <w:docPartGallery w:val="Page Numbers (Bottom of Page)"/>
        <w:docPartUnique/>
      </w:docPartObj>
    </w:sdtPr>
    <w:sdtEndPr>
      <w:rPr>
        <w:noProof/>
      </w:rPr>
    </w:sdtEndPr>
    <w:sdtContent>
      <w:p w14:paraId="43DDD2FA" w14:textId="5A077D90" w:rsidR="00437780" w:rsidRDefault="00437780">
        <w:pPr>
          <w:pStyle w:val="Footer"/>
          <w:jc w:val="center"/>
        </w:pPr>
        <w:r>
          <w:fldChar w:fldCharType="begin"/>
        </w:r>
        <w:r>
          <w:instrText xml:space="preserve"> PAGE   \* MERGEFORMAT </w:instrText>
        </w:r>
        <w:r>
          <w:fldChar w:fldCharType="separate"/>
        </w:r>
        <w:r w:rsidR="0007507A">
          <w:rPr>
            <w:noProof/>
          </w:rPr>
          <w:t>1</w:t>
        </w:r>
        <w:r>
          <w:rPr>
            <w:noProof/>
          </w:rPr>
          <w:fldChar w:fldCharType="end"/>
        </w:r>
      </w:p>
    </w:sdtContent>
  </w:sdt>
  <w:p w14:paraId="35C47A79" w14:textId="77777777" w:rsidR="00437780" w:rsidRDefault="0043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5CF2" w14:textId="77777777" w:rsidR="00437780" w:rsidRDefault="00437780">
      <w:r>
        <w:separator/>
      </w:r>
    </w:p>
  </w:footnote>
  <w:footnote w:type="continuationSeparator" w:id="0">
    <w:p w14:paraId="5690362F" w14:textId="77777777" w:rsidR="00437780" w:rsidRDefault="00437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437780" w:rsidRPr="00D6659F" w:rsidRDefault="00437780" w:rsidP="009A5DA5">
    <w:pPr>
      <w:pStyle w:val="Header"/>
    </w:pPr>
  </w:p>
  <w:p w14:paraId="1317932C" w14:textId="77777777" w:rsidR="00437780" w:rsidRPr="008C7CBE" w:rsidRDefault="00437780" w:rsidP="009A5DA5">
    <w:pPr>
      <w:pStyle w:val="Header"/>
    </w:pPr>
  </w:p>
  <w:p w14:paraId="0A75C38C" w14:textId="77777777" w:rsidR="00437780" w:rsidRPr="009A5DA5" w:rsidRDefault="00437780" w:rsidP="009A5DA5">
    <w:pPr>
      <w:pStyle w:val="Header"/>
    </w:pPr>
  </w:p>
  <w:p w14:paraId="62DB8D0D" w14:textId="77777777" w:rsidR="00437780" w:rsidRDefault="00437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75E92"/>
    <w:multiLevelType w:val="multilevel"/>
    <w:tmpl w:val="4C4ED4D6"/>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577BE5"/>
    <w:multiLevelType w:val="hybridMultilevel"/>
    <w:tmpl w:val="9ADA1ADC"/>
    <w:lvl w:ilvl="0" w:tplc="F0AEFF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AB2D61"/>
    <w:multiLevelType w:val="hybridMultilevel"/>
    <w:tmpl w:val="C868FB8C"/>
    <w:lvl w:ilvl="0" w:tplc="F0AEFFB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D26DCD"/>
    <w:multiLevelType w:val="multilevel"/>
    <w:tmpl w:val="36A8344E"/>
    <w:styleLink w:val="Appendix"/>
    <w:lvl w:ilvl="0">
      <w:start w:val="1"/>
      <w:numFmt w:val="upperLetter"/>
      <w:pStyle w:val="AppendixH1"/>
      <w:lvlText w:val="Appendix %1"/>
      <w:lvlJc w:val="left"/>
      <w:pPr>
        <w:tabs>
          <w:tab w:val="num" w:pos="432"/>
        </w:tabs>
        <w:ind w:left="432" w:hanging="432"/>
      </w:pPr>
      <w:rPr>
        <w:rFonts w:hint="default"/>
      </w:rPr>
    </w:lvl>
    <w:lvl w:ilvl="1">
      <w:start w:val="1"/>
      <w:numFmt w:val="decimal"/>
      <w:pStyle w:val="AppendixH2"/>
      <w:lvlText w:val="%1.%2"/>
      <w:lvlJc w:val="left"/>
      <w:pPr>
        <w:tabs>
          <w:tab w:val="num" w:pos="576"/>
        </w:tabs>
        <w:ind w:left="576" w:hanging="576"/>
      </w:pPr>
      <w:rPr>
        <w:rFonts w:hint="default"/>
      </w:rPr>
    </w:lvl>
    <w:lvl w:ilvl="2">
      <w:start w:val="1"/>
      <w:numFmt w:val="decimal"/>
      <w:pStyle w:val="AppendixH3"/>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99529EE"/>
    <w:multiLevelType w:val="multilevel"/>
    <w:tmpl w:val="36A8344E"/>
    <w:numStyleLink w:val="Appendix"/>
  </w:abstractNum>
  <w:abstractNum w:abstractNumId="10">
    <w:nsid w:val="79EA4695"/>
    <w:multiLevelType w:val="multilevel"/>
    <w:tmpl w:val="1C5A04FC"/>
    <w:lvl w:ilvl="0">
      <w:start w:val="1"/>
      <w:numFmt w:val="bullet"/>
      <w:lvlText w:val="-"/>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bullet"/>
      <w:lvlText w:val="-"/>
      <w:lvlJc w:val="left"/>
      <w:pPr>
        <w:tabs>
          <w:tab w:val="num" w:pos="864"/>
        </w:tabs>
        <w:ind w:left="864" w:hanging="864"/>
      </w:pPr>
      <w:rPr>
        <w:rFonts w:ascii="Arial" w:eastAsia="Times New Roman" w:hAnsi="Arial" w:cs="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A2B041B"/>
    <w:multiLevelType w:val="hybridMultilevel"/>
    <w:tmpl w:val="B6C432D6"/>
    <w:lvl w:ilvl="0" w:tplc="72DE40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8"/>
    <w:lvlOverride w:ilvl="0">
      <w:lvl w:ilvl="0">
        <w:start w:val="1"/>
        <w:numFmt w:val="upperLetter"/>
        <w:pStyle w:val="AppendixH1"/>
        <w:lvlText w:val="Appendix %1"/>
        <w:lvlJc w:val="left"/>
        <w:pPr>
          <w:tabs>
            <w:tab w:val="num" w:pos="432"/>
          </w:tabs>
          <w:ind w:left="432" w:hanging="432"/>
        </w:pPr>
        <w:rPr>
          <w:rFonts w:hint="default"/>
        </w:rPr>
      </w:lvl>
    </w:lvlOverride>
    <w:lvlOverride w:ilvl="1">
      <w:lvl w:ilvl="1">
        <w:start w:val="1"/>
        <w:numFmt w:val="decimal"/>
        <w:pStyle w:val="AppendixH2"/>
        <w:lvlText w:val="%1.%2"/>
        <w:lvlJc w:val="left"/>
        <w:pPr>
          <w:tabs>
            <w:tab w:val="num" w:pos="576"/>
          </w:tabs>
          <w:ind w:left="576" w:hanging="576"/>
        </w:pPr>
        <w:rPr>
          <w:rFonts w:hint="default"/>
        </w:rPr>
      </w:lvl>
    </w:lvlOverride>
    <w:lvlOverride w:ilvl="2">
      <w:lvl w:ilvl="2">
        <w:start w:val="1"/>
        <w:numFmt w:val="decimal"/>
        <w:pStyle w:val="AppendixH3"/>
        <w:lvlText w:val="%1.%2.%3"/>
        <w:lvlJc w:val="left"/>
        <w:pPr>
          <w:tabs>
            <w:tab w:val="num" w:pos="2601"/>
          </w:tabs>
          <w:ind w:left="2601"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
    <w:abstractNumId w:val="3"/>
  </w:num>
  <w:num w:numId="9">
    <w:abstractNumId w:val="10"/>
  </w:num>
  <w:num w:numId="10">
    <w:abstractNumId w:val="9"/>
  </w:num>
  <w:num w:numId="11">
    <w:abstractNumId w:val="8"/>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2292"/>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D9E"/>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6FF2"/>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07A"/>
    <w:rsid w:val="000755F3"/>
    <w:rsid w:val="00076477"/>
    <w:rsid w:val="0007648E"/>
    <w:rsid w:val="00076898"/>
    <w:rsid w:val="00076B5F"/>
    <w:rsid w:val="00076D0C"/>
    <w:rsid w:val="00080386"/>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0FF4"/>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25BA"/>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6569"/>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B5F"/>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6C0"/>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75D"/>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95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2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BA"/>
    <w:rsid w:val="002A5299"/>
    <w:rsid w:val="002A5A12"/>
    <w:rsid w:val="002A5EA4"/>
    <w:rsid w:val="002A6091"/>
    <w:rsid w:val="002A687B"/>
    <w:rsid w:val="002A6E62"/>
    <w:rsid w:val="002A7716"/>
    <w:rsid w:val="002A7D0B"/>
    <w:rsid w:val="002B0127"/>
    <w:rsid w:val="002B057B"/>
    <w:rsid w:val="002B210F"/>
    <w:rsid w:val="002B239C"/>
    <w:rsid w:val="002B2754"/>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A3E"/>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12B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BC2"/>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946"/>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444E"/>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4EFE"/>
    <w:rsid w:val="003A548E"/>
    <w:rsid w:val="003A6510"/>
    <w:rsid w:val="003A6AFF"/>
    <w:rsid w:val="003A76E3"/>
    <w:rsid w:val="003A7A53"/>
    <w:rsid w:val="003A7E2D"/>
    <w:rsid w:val="003B0294"/>
    <w:rsid w:val="003B0AE3"/>
    <w:rsid w:val="003B0E47"/>
    <w:rsid w:val="003B0EDC"/>
    <w:rsid w:val="003B0EE0"/>
    <w:rsid w:val="003B143B"/>
    <w:rsid w:val="003B148F"/>
    <w:rsid w:val="003B1A73"/>
    <w:rsid w:val="003B1B5C"/>
    <w:rsid w:val="003B2513"/>
    <w:rsid w:val="003B26F6"/>
    <w:rsid w:val="003B2943"/>
    <w:rsid w:val="003B2AA2"/>
    <w:rsid w:val="003B2D8A"/>
    <w:rsid w:val="003B2ED7"/>
    <w:rsid w:val="003B331C"/>
    <w:rsid w:val="003B36C9"/>
    <w:rsid w:val="003B37DE"/>
    <w:rsid w:val="003B40A1"/>
    <w:rsid w:val="003B486F"/>
    <w:rsid w:val="003B4C3B"/>
    <w:rsid w:val="003B5704"/>
    <w:rsid w:val="003B57D2"/>
    <w:rsid w:val="003B58EA"/>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E7C75"/>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780"/>
    <w:rsid w:val="0043789D"/>
    <w:rsid w:val="00437C6B"/>
    <w:rsid w:val="00437CB9"/>
    <w:rsid w:val="00441073"/>
    <w:rsid w:val="004412B6"/>
    <w:rsid w:val="004414E7"/>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1DCA"/>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08CD"/>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404"/>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02A5"/>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B7F2A"/>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4F"/>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8C0"/>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2E2A"/>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0E6B"/>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44DE"/>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CB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01C1"/>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CA3"/>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29F"/>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2AF2"/>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41C"/>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94B"/>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1B1"/>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54A"/>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2C5"/>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A31"/>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6C9"/>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2FFD"/>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29E"/>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A6A"/>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D0A"/>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32A"/>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0EF3"/>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3CC"/>
    <w:rsid w:val="00866549"/>
    <w:rsid w:val="00866DE7"/>
    <w:rsid w:val="00866E6D"/>
    <w:rsid w:val="008671BE"/>
    <w:rsid w:val="008677A2"/>
    <w:rsid w:val="008677C5"/>
    <w:rsid w:val="00870F50"/>
    <w:rsid w:val="00871373"/>
    <w:rsid w:val="00871DF4"/>
    <w:rsid w:val="0087203D"/>
    <w:rsid w:val="008733C6"/>
    <w:rsid w:val="008734F4"/>
    <w:rsid w:val="0087367A"/>
    <w:rsid w:val="00873B14"/>
    <w:rsid w:val="00873C18"/>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90C"/>
    <w:rsid w:val="00886EE7"/>
    <w:rsid w:val="0088799F"/>
    <w:rsid w:val="008879CC"/>
    <w:rsid w:val="00890134"/>
    <w:rsid w:val="0089040E"/>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2B9"/>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508"/>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8CA"/>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5E50"/>
    <w:rsid w:val="00946039"/>
    <w:rsid w:val="0094636B"/>
    <w:rsid w:val="00946AEC"/>
    <w:rsid w:val="00946D34"/>
    <w:rsid w:val="009473EB"/>
    <w:rsid w:val="009475E8"/>
    <w:rsid w:val="00950070"/>
    <w:rsid w:val="00950255"/>
    <w:rsid w:val="00950AE8"/>
    <w:rsid w:val="00951049"/>
    <w:rsid w:val="0095209F"/>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151"/>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AC4"/>
    <w:rsid w:val="009A3C1E"/>
    <w:rsid w:val="009A3D33"/>
    <w:rsid w:val="009A4265"/>
    <w:rsid w:val="009A4DC4"/>
    <w:rsid w:val="009A512F"/>
    <w:rsid w:val="009A51A1"/>
    <w:rsid w:val="009A58DE"/>
    <w:rsid w:val="009A5A96"/>
    <w:rsid w:val="009A5DA5"/>
    <w:rsid w:val="009A5F5F"/>
    <w:rsid w:val="009A6568"/>
    <w:rsid w:val="009A65EB"/>
    <w:rsid w:val="009A6A37"/>
    <w:rsid w:val="009A6C55"/>
    <w:rsid w:val="009A7316"/>
    <w:rsid w:val="009A7FB9"/>
    <w:rsid w:val="009B03D1"/>
    <w:rsid w:val="009B0466"/>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C53"/>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1F9"/>
    <w:rsid w:val="009E528E"/>
    <w:rsid w:val="009E54FB"/>
    <w:rsid w:val="009E5EC2"/>
    <w:rsid w:val="009E738A"/>
    <w:rsid w:val="009E7E5B"/>
    <w:rsid w:val="009F0401"/>
    <w:rsid w:val="009F06BF"/>
    <w:rsid w:val="009F09D1"/>
    <w:rsid w:val="009F1311"/>
    <w:rsid w:val="009F1430"/>
    <w:rsid w:val="009F17B3"/>
    <w:rsid w:val="009F1B87"/>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9F7FA0"/>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BF0"/>
    <w:rsid w:val="00A74CAE"/>
    <w:rsid w:val="00A750D5"/>
    <w:rsid w:val="00A756A5"/>
    <w:rsid w:val="00A75826"/>
    <w:rsid w:val="00A7605F"/>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8761D"/>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1576"/>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4B"/>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572"/>
    <w:rsid w:val="00AD26BD"/>
    <w:rsid w:val="00AD2BDD"/>
    <w:rsid w:val="00AD2E72"/>
    <w:rsid w:val="00AD35C2"/>
    <w:rsid w:val="00AD3AE0"/>
    <w:rsid w:val="00AD474C"/>
    <w:rsid w:val="00AD4ABB"/>
    <w:rsid w:val="00AD4E23"/>
    <w:rsid w:val="00AD5A59"/>
    <w:rsid w:val="00AD5B79"/>
    <w:rsid w:val="00AD5E14"/>
    <w:rsid w:val="00AD5E67"/>
    <w:rsid w:val="00AD6538"/>
    <w:rsid w:val="00AD6815"/>
    <w:rsid w:val="00AD692F"/>
    <w:rsid w:val="00AD69DE"/>
    <w:rsid w:val="00AD6B7C"/>
    <w:rsid w:val="00AD7BDD"/>
    <w:rsid w:val="00AD7D42"/>
    <w:rsid w:val="00AE010F"/>
    <w:rsid w:val="00AE037B"/>
    <w:rsid w:val="00AE059C"/>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BC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06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AF6"/>
    <w:rsid w:val="00B44C70"/>
    <w:rsid w:val="00B44DD5"/>
    <w:rsid w:val="00B44F00"/>
    <w:rsid w:val="00B450D8"/>
    <w:rsid w:val="00B45C0A"/>
    <w:rsid w:val="00B45DAE"/>
    <w:rsid w:val="00B45DEF"/>
    <w:rsid w:val="00B45E7B"/>
    <w:rsid w:val="00B46361"/>
    <w:rsid w:val="00B467E8"/>
    <w:rsid w:val="00B469CE"/>
    <w:rsid w:val="00B469DB"/>
    <w:rsid w:val="00B46C75"/>
    <w:rsid w:val="00B47F52"/>
    <w:rsid w:val="00B50583"/>
    <w:rsid w:val="00B50924"/>
    <w:rsid w:val="00B50B7C"/>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8C"/>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3F4E"/>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C4E"/>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74"/>
    <w:rsid w:val="00BE6489"/>
    <w:rsid w:val="00BE7473"/>
    <w:rsid w:val="00BE7493"/>
    <w:rsid w:val="00BF0240"/>
    <w:rsid w:val="00BF13B8"/>
    <w:rsid w:val="00BF1D62"/>
    <w:rsid w:val="00BF20B9"/>
    <w:rsid w:val="00BF2117"/>
    <w:rsid w:val="00BF216D"/>
    <w:rsid w:val="00BF27D0"/>
    <w:rsid w:val="00BF2CB2"/>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C2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5F55"/>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7E0"/>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ABC"/>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827"/>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263"/>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1DF"/>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81F"/>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67E"/>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97693"/>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483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71F"/>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79B"/>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C1"/>
    <w:rsid w:val="00E61ED7"/>
    <w:rsid w:val="00E623D1"/>
    <w:rsid w:val="00E6253D"/>
    <w:rsid w:val="00E629AF"/>
    <w:rsid w:val="00E6305E"/>
    <w:rsid w:val="00E647B0"/>
    <w:rsid w:val="00E64AD1"/>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18F6"/>
    <w:rsid w:val="00EB19FA"/>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6E07"/>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1B"/>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302"/>
    <w:rsid w:val="00F3156E"/>
    <w:rsid w:val="00F3192B"/>
    <w:rsid w:val="00F31CAC"/>
    <w:rsid w:val="00F31F0A"/>
    <w:rsid w:val="00F32126"/>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0EA4"/>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3582"/>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242"/>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1D04"/>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C25F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AppendixH1">
    <w:name w:val="Appendix H1"/>
    <w:basedOn w:val="Heading1"/>
    <w:link w:val="AppendixH1Char"/>
    <w:qFormat/>
    <w:rsid w:val="009A3AC4"/>
    <w:pPr>
      <w:numPr>
        <w:numId w:val="10"/>
      </w:numPr>
    </w:pPr>
  </w:style>
  <w:style w:type="paragraph" w:customStyle="1" w:styleId="AppendixH2">
    <w:name w:val="Appendix H2"/>
    <w:basedOn w:val="Heading2"/>
    <w:link w:val="AppendixH2Char"/>
    <w:qFormat/>
    <w:rsid w:val="009A3AC4"/>
    <w:pPr>
      <w:numPr>
        <w:numId w:val="10"/>
      </w:numPr>
    </w:pPr>
  </w:style>
  <w:style w:type="character" w:customStyle="1" w:styleId="AppendixH1Char">
    <w:name w:val="Appendix H1 Char"/>
    <w:basedOn w:val="Heading1Char2"/>
    <w:link w:val="AppendixH1"/>
    <w:rsid w:val="009A3AC4"/>
    <w:rPr>
      <w:rFonts w:ascii="Arial" w:hAnsi="Arial" w:cs="Arial"/>
      <w:b/>
      <w:bCs/>
      <w:caps/>
      <w:kern w:val="32"/>
      <w:sz w:val="32"/>
      <w:szCs w:val="32"/>
      <w:lang w:eastAsia="el-GR"/>
    </w:rPr>
  </w:style>
  <w:style w:type="paragraph" w:customStyle="1" w:styleId="AppendixH3">
    <w:name w:val="Appendix H3"/>
    <w:basedOn w:val="Heading3"/>
    <w:link w:val="AppendixH3Char"/>
    <w:qFormat/>
    <w:rsid w:val="009A3AC4"/>
    <w:pPr>
      <w:numPr>
        <w:numId w:val="10"/>
      </w:numPr>
    </w:pPr>
  </w:style>
  <w:style w:type="character" w:customStyle="1" w:styleId="AppendixH2Char">
    <w:name w:val="Appendix H2 Char"/>
    <w:basedOn w:val="Heading2Char1"/>
    <w:link w:val="AppendixH2"/>
    <w:rsid w:val="009A3AC4"/>
    <w:rPr>
      <w:rFonts w:ascii="Arial" w:hAnsi="Arial" w:cs="Arial"/>
      <w:b/>
      <w:bCs/>
      <w:iCs/>
      <w:smallCaps/>
      <w:sz w:val="32"/>
      <w:szCs w:val="28"/>
      <w:lang w:eastAsia="el-GR"/>
    </w:rPr>
  </w:style>
  <w:style w:type="numbering" w:customStyle="1" w:styleId="Appendix">
    <w:name w:val="Appendix"/>
    <w:uiPriority w:val="99"/>
    <w:rsid w:val="009A3AC4"/>
    <w:pPr>
      <w:numPr>
        <w:numId w:val="11"/>
      </w:numPr>
    </w:pPr>
  </w:style>
  <w:style w:type="character" w:customStyle="1" w:styleId="AppendixH3Char">
    <w:name w:val="Appendix H3 Char"/>
    <w:basedOn w:val="Heading3Char"/>
    <w:link w:val="AppendixH3"/>
    <w:rsid w:val="009A3AC4"/>
    <w:rPr>
      <w:rFonts w:ascii="Arial" w:eastAsia="Calibri" w:hAnsi="Arial" w:cs="Arial"/>
      <w:b/>
      <w:bCs/>
      <w:smallCaps/>
      <w:sz w:val="28"/>
      <w:szCs w:val="22"/>
      <w:lang w:eastAsia="el-GR"/>
    </w:rPr>
  </w:style>
  <w:style w:type="table" w:customStyle="1" w:styleId="GridTable5Dark-Accent51">
    <w:name w:val="Grid Table 5 Dark - Accent 51"/>
    <w:basedOn w:val="TableNormal"/>
    <w:uiPriority w:val="50"/>
    <w:rsid w:val="00E64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653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FooterChar">
    <w:name w:val="Footer Char"/>
    <w:basedOn w:val="DefaultParagraphFont"/>
    <w:link w:val="Footer"/>
    <w:uiPriority w:val="99"/>
    <w:rsid w:val="00A7605F"/>
    <w:rPr>
      <w:rFonts w:ascii="Arial" w:hAnsi="Arial"/>
      <w:sz w:val="18"/>
      <w:szCs w:val="24"/>
      <w:lang w:eastAsia="el-GR"/>
    </w:rPr>
  </w:style>
  <w:style w:type="table" w:customStyle="1" w:styleId="ListTable3-Accent61">
    <w:name w:val="List Table 3 - Accent 61"/>
    <w:basedOn w:val="TableNormal"/>
    <w:uiPriority w:val="48"/>
    <w:rsid w:val="003B1A7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6Colorful-Accent61">
    <w:name w:val="List Table 6 Colorful - Accent 61"/>
    <w:basedOn w:val="TableNormal"/>
    <w:uiPriority w:val="51"/>
    <w:rsid w:val="003B1A7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3B1A7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61">
    <w:name w:val="List Table 7 Colorful - Accent 61"/>
    <w:basedOn w:val="TableNormal"/>
    <w:uiPriority w:val="52"/>
    <w:rsid w:val="003B1A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3B1A7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3B1A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basedOn w:val="TableNormal"/>
    <w:uiPriority w:val="47"/>
    <w:rsid w:val="003B1A7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uiPriority w:val="49"/>
    <w:rsid w:val="003B1A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C25F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AppendixH1">
    <w:name w:val="Appendix H1"/>
    <w:basedOn w:val="Heading1"/>
    <w:link w:val="AppendixH1Char"/>
    <w:qFormat/>
    <w:rsid w:val="009A3AC4"/>
    <w:pPr>
      <w:numPr>
        <w:numId w:val="10"/>
      </w:numPr>
    </w:pPr>
  </w:style>
  <w:style w:type="paragraph" w:customStyle="1" w:styleId="AppendixH2">
    <w:name w:val="Appendix H2"/>
    <w:basedOn w:val="Heading2"/>
    <w:link w:val="AppendixH2Char"/>
    <w:qFormat/>
    <w:rsid w:val="009A3AC4"/>
    <w:pPr>
      <w:numPr>
        <w:numId w:val="10"/>
      </w:numPr>
    </w:pPr>
  </w:style>
  <w:style w:type="character" w:customStyle="1" w:styleId="AppendixH1Char">
    <w:name w:val="Appendix H1 Char"/>
    <w:basedOn w:val="Heading1Char2"/>
    <w:link w:val="AppendixH1"/>
    <w:rsid w:val="009A3AC4"/>
    <w:rPr>
      <w:rFonts w:ascii="Arial" w:hAnsi="Arial" w:cs="Arial"/>
      <w:b/>
      <w:bCs/>
      <w:caps/>
      <w:kern w:val="32"/>
      <w:sz w:val="32"/>
      <w:szCs w:val="32"/>
      <w:lang w:eastAsia="el-GR"/>
    </w:rPr>
  </w:style>
  <w:style w:type="paragraph" w:customStyle="1" w:styleId="AppendixH3">
    <w:name w:val="Appendix H3"/>
    <w:basedOn w:val="Heading3"/>
    <w:link w:val="AppendixH3Char"/>
    <w:qFormat/>
    <w:rsid w:val="009A3AC4"/>
    <w:pPr>
      <w:numPr>
        <w:numId w:val="10"/>
      </w:numPr>
    </w:pPr>
  </w:style>
  <w:style w:type="character" w:customStyle="1" w:styleId="AppendixH2Char">
    <w:name w:val="Appendix H2 Char"/>
    <w:basedOn w:val="Heading2Char1"/>
    <w:link w:val="AppendixH2"/>
    <w:rsid w:val="009A3AC4"/>
    <w:rPr>
      <w:rFonts w:ascii="Arial" w:hAnsi="Arial" w:cs="Arial"/>
      <w:b/>
      <w:bCs/>
      <w:iCs/>
      <w:smallCaps/>
      <w:sz w:val="32"/>
      <w:szCs w:val="28"/>
      <w:lang w:eastAsia="el-GR"/>
    </w:rPr>
  </w:style>
  <w:style w:type="numbering" w:customStyle="1" w:styleId="Appendix">
    <w:name w:val="Appendix"/>
    <w:uiPriority w:val="99"/>
    <w:rsid w:val="009A3AC4"/>
    <w:pPr>
      <w:numPr>
        <w:numId w:val="11"/>
      </w:numPr>
    </w:pPr>
  </w:style>
  <w:style w:type="character" w:customStyle="1" w:styleId="AppendixH3Char">
    <w:name w:val="Appendix H3 Char"/>
    <w:basedOn w:val="Heading3Char"/>
    <w:link w:val="AppendixH3"/>
    <w:rsid w:val="009A3AC4"/>
    <w:rPr>
      <w:rFonts w:ascii="Arial" w:eastAsia="Calibri" w:hAnsi="Arial" w:cs="Arial"/>
      <w:b/>
      <w:bCs/>
      <w:smallCaps/>
      <w:sz w:val="28"/>
      <w:szCs w:val="22"/>
      <w:lang w:eastAsia="el-GR"/>
    </w:rPr>
  </w:style>
  <w:style w:type="table" w:customStyle="1" w:styleId="GridTable5Dark-Accent51">
    <w:name w:val="Grid Table 5 Dark - Accent 51"/>
    <w:basedOn w:val="TableNormal"/>
    <w:uiPriority w:val="50"/>
    <w:rsid w:val="00E64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653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FooterChar">
    <w:name w:val="Footer Char"/>
    <w:basedOn w:val="DefaultParagraphFont"/>
    <w:link w:val="Footer"/>
    <w:uiPriority w:val="99"/>
    <w:rsid w:val="00A7605F"/>
    <w:rPr>
      <w:rFonts w:ascii="Arial" w:hAnsi="Arial"/>
      <w:sz w:val="18"/>
      <w:szCs w:val="24"/>
      <w:lang w:eastAsia="el-GR"/>
    </w:rPr>
  </w:style>
  <w:style w:type="table" w:customStyle="1" w:styleId="ListTable3-Accent61">
    <w:name w:val="List Table 3 - Accent 61"/>
    <w:basedOn w:val="TableNormal"/>
    <w:uiPriority w:val="48"/>
    <w:rsid w:val="003B1A7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6Colorful-Accent61">
    <w:name w:val="List Table 6 Colorful - Accent 61"/>
    <w:basedOn w:val="TableNormal"/>
    <w:uiPriority w:val="51"/>
    <w:rsid w:val="003B1A7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3B1A7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61">
    <w:name w:val="List Table 7 Colorful - Accent 61"/>
    <w:basedOn w:val="TableNormal"/>
    <w:uiPriority w:val="52"/>
    <w:rsid w:val="003B1A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3B1A7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3B1A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basedOn w:val="TableNormal"/>
    <w:uiPriority w:val="47"/>
    <w:rsid w:val="003B1A7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uiPriority w:val="49"/>
    <w:rsid w:val="003B1A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30.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sv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svg"/><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40.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2.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3.xml><?xml version="1.0" encoding="utf-8"?>
<ds:datastoreItem xmlns:ds="http://schemas.openxmlformats.org/officeDocument/2006/customXml" ds:itemID="{3E0933FD-A212-4F77-9494-0CF361891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E9824-EC57-4E39-AB9B-4FE01AFE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31</TotalTime>
  <Pages>13</Pages>
  <Words>3364</Words>
  <Characters>22011</Characters>
  <Application>Microsoft Office Word</Application>
  <DocSecurity>0</DocSecurity>
  <Lines>500</Lines>
  <Paragraphs>357</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Company>ARHS</Company>
  <LinksUpToDate>false</LinksUpToDate>
  <CharactersWithSpaces>25018</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lastModifiedBy>BEL1845</cp:lastModifiedBy>
  <cp:revision>22</cp:revision>
  <cp:lastPrinted>2010-08-20T08:44:00Z</cp:lastPrinted>
  <dcterms:created xsi:type="dcterms:W3CDTF">2018-06-01T12:46:00Z</dcterms:created>
  <dcterms:modified xsi:type="dcterms:W3CDTF">2019-02-07T11:04:00Z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