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268F6A4B" w:rsidR="005A195B" w:rsidRPr="00DA38BA" w:rsidRDefault="00B62C34" w:rsidP="00806D03">
      <w:pPr>
        <w:pStyle w:val="Heading1"/>
      </w:pPr>
      <w:r>
        <w:t>Διαβούλευση με τα εμπλεκόμενα κράτη μέλη (Τυπική διαδικασία, Διαμετακόμιση και Τακτική γραμμή θαλάσσιας μεταφοράς)</w:t>
      </w:r>
    </w:p>
    <w:p w14:paraId="447DDD79" w14:textId="0011E48B" w:rsidR="0067563C" w:rsidRDefault="00806D03" w:rsidP="0067563C">
      <w:pPr>
        <w:pStyle w:val="Heading2"/>
      </w:pPr>
      <w:r>
        <w:t>Ενδιαφερόμενοι φορείς που εμπλέκονται στη διαδικασία</w:t>
      </w:r>
    </w:p>
    <w:p w14:paraId="24A4580B" w14:textId="0D21EB92" w:rsidR="0067563C" w:rsidRDefault="0067563C" w:rsidP="00B7713A">
      <w:pPr>
        <w:pStyle w:val="ListParagraph"/>
        <w:numPr>
          <w:ilvl w:val="0"/>
          <w:numId w:val="42"/>
        </w:numPr>
        <w:ind w:left="568" w:hanging="284"/>
        <w:contextualSpacing w:val="0"/>
      </w:pPr>
      <w:r>
        <w:t>Αρμόδια για τη λήψη απόφασης τελωνειακή αρχή·</w:t>
      </w:r>
    </w:p>
    <w:p w14:paraId="4FD25944" w14:textId="78CC20E3" w:rsidR="0067563C" w:rsidRDefault="00B7713A" w:rsidP="00B7713A">
      <w:pPr>
        <w:pStyle w:val="ListParagraph"/>
        <w:numPr>
          <w:ilvl w:val="0"/>
          <w:numId w:val="42"/>
        </w:numPr>
        <w:ind w:left="568" w:hanging="284"/>
        <w:contextualSpacing w:val="0"/>
      </w:pPr>
      <w:r>
        <w:t>Τελωνειακές αρχές των οποίω</w:t>
      </w:r>
      <w:bookmarkStart w:id="0" w:name="_GoBack"/>
      <w:bookmarkEnd w:id="0"/>
      <w:r>
        <w:t>ν ζητείται η γνώμη.</w:t>
      </w:r>
    </w:p>
    <w:p w14:paraId="53B7532E" w14:textId="77777777" w:rsidR="0067563C" w:rsidRDefault="0067563C" w:rsidP="0067563C">
      <w:pPr>
        <w:pStyle w:val="Heading2"/>
      </w:pPr>
      <w:r>
        <w:t>Ροή εργασιών</w:t>
      </w:r>
    </w:p>
    <w:p w14:paraId="3AFEDE82" w14:textId="4104704A" w:rsidR="0067563C" w:rsidRDefault="0067563C" w:rsidP="0067563C">
      <w:r>
        <w:t xml:space="preserve">Η διαδικασία διαβούλευσης με τα εμπλεκόμενα κράτη μέλη αποτελεί μέρος της διαδικασίας λήψης απόφασης. Στο </w:t>
      </w:r>
      <w:r>
        <w:fldChar w:fldCharType="begin"/>
      </w:r>
      <w:r>
        <w:instrText xml:space="preserve"> REF _Ref475015953 \h </w:instrText>
      </w:r>
      <w:r>
        <w:fldChar w:fldCharType="separate"/>
      </w:r>
      <w:r w:rsidR="004A6748">
        <w:t>Σχήμα</w:t>
      </w:r>
      <w:r>
        <w:t xml:space="preserve"> </w:t>
      </w:r>
      <w:r>
        <w:rPr>
          <w:noProof/>
        </w:rPr>
        <w:t>1</w:t>
      </w:r>
      <w:r>
        <w:fldChar w:fldCharType="end"/>
      </w:r>
      <w:r>
        <w:t xml:space="preserve"> παρουσιάζεται η υψηλού επιπέδου επισκόπηση της διαδικασίας λήψης απόφασης. Η διαδικασία διαβούλευσης με τα εμπλεκόμενα κράτη μέλη αποτελεί μία από τις «Επικουρικές δραστηριότητες».</w:t>
      </w:r>
    </w:p>
    <w:p w14:paraId="5EAAF00D" w14:textId="604CC3C1" w:rsidR="0067563C" w:rsidRDefault="007F6F41" w:rsidP="0067563C">
      <w:r>
        <w:rPr>
          <w:noProof/>
          <w:lang w:val="en-GB" w:eastAsia="en-GB" w:bidi="ar-SA"/>
        </w:rPr>
        <mc:AlternateContent>
          <mc:Choice Requires="wps">
            <w:drawing>
              <wp:inline distT="0" distB="0" distL="0" distR="0" wp14:anchorId="6F622DD4" wp14:editId="24850E09">
                <wp:extent cx="5748793" cy="2725515"/>
                <wp:effectExtent l="19050" t="19050" r="23495"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2C068CE" w14:textId="5DCB9C31" w:rsidR="00A87C3C" w:rsidRDefault="003A5424" w:rsidP="00A87C3C">
                            <w:pPr>
                              <w:spacing w:after="0"/>
                              <w:jc w:val="left"/>
                              <w:rPr>
                                <w:color w:val="806000" w:themeColor="accent4" w:themeShade="80"/>
                                <w:sz w:val="18"/>
                              </w:rPr>
                            </w:pPr>
                            <w:r>
                              <w:rPr>
                                <w:noProof/>
                                <w:color w:val="806000" w:themeColor="accent4" w:themeShade="80"/>
                                <w:position w:val="-20"/>
                                <w:sz w:val="18"/>
                                <w:szCs w:val="18"/>
                                <w:lang w:val="en-GB" w:eastAsia="en-GB" w:bidi="ar-SA"/>
                              </w:rPr>
                              <w:drawing>
                                <wp:inline distT="0" distB="0" distL="0" distR="0" wp14:anchorId="27CA8C7C" wp14:editId="207C3AA1">
                                  <wp:extent cx="360000" cy="360000"/>
                                  <wp:effectExtent l="0" t="0" r="2540" b="2540"/>
                                  <wp:docPr id="2"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3"/>
                                              </a:ext>
                                            </a:extLst>
                                          </a:blip>
                                          <a:stretch>
                                            <a:fillRect/>
                                          </a:stretch>
                                        </pic:blipFill>
                                        <pic:spPr>
                                          <a:xfrm>
                                            <a:off x="0" y="0"/>
                                            <a:ext cx="360000" cy="360000"/>
                                          </a:xfrm>
                                          <a:prstGeom prst="rect">
                                            <a:avLst/>
                                          </a:prstGeom>
                                        </pic:spPr>
                                      </pic:pic>
                                    </a:graphicData>
                                  </a:graphic>
                                </wp:inline>
                              </w:drawing>
                            </w:r>
                            <w:r>
                              <w:rPr>
                                <w:color w:val="806000" w:themeColor="accent4" w:themeShade="80"/>
                                <w:sz w:val="18"/>
                              </w:rPr>
                              <w:t>Όλες οι αναφορές στη διαβούλευση με τα εμπλεκόμενα κράτη μέλη σε αυτήν την ενότητα αφορούν την τυποποιημένη διαδικασία διαβούλευσης με τα εμπλεκόμενα κράτη μέλη.</w:t>
                            </w:r>
                          </w:p>
                          <w:p w14:paraId="2A2BA53B" w14:textId="77777777" w:rsidR="00A87C3C" w:rsidRDefault="00A87C3C" w:rsidP="007F6F41">
                            <w:pPr>
                              <w:spacing w:after="0"/>
                              <w:rPr>
                                <w:color w:val="806000" w:themeColor="accent4" w:themeShade="80"/>
                                <w:sz w:val="18"/>
                              </w:rPr>
                            </w:pPr>
                          </w:p>
                          <w:p w14:paraId="5ADF88BD" w14:textId="4129656F" w:rsidR="00A87C3C" w:rsidRDefault="00A87C3C" w:rsidP="00A87C3C">
                            <w:pPr>
                              <w:spacing w:after="0"/>
                              <w:rPr>
                                <w:color w:val="806000" w:themeColor="accent4" w:themeShade="80"/>
                                <w:sz w:val="18"/>
                              </w:rPr>
                            </w:pPr>
                            <w:r>
                              <w:rPr>
                                <w:color w:val="806000" w:themeColor="accent4" w:themeShade="80"/>
                                <w:sz w:val="18"/>
                              </w:rPr>
                              <w:t xml:space="preserve">Αυτή η διαδικασία χρησιμοποιείται για την παροχή επισκόπησης του συνήθους τρόπου διαβούλευσης με ένα ή περισσότερα κράτη μέλη, παρόλο που δεν είναι δυνατή η διαβούλευση για τα είδη αδειών στην ομάδα «Άλλες αιτήσεις (Τυπική διαδικασία)» (άδεια για την παροχή συνολικής εγγύησης, περιλαμβανομένης της πιθανής εγγύησης μειωμένου ποσού ή της απαλλαγής από την υποχρέωση σύστασης εγγύησης, άδεια αναστολής πληρωμής, άδεια για την απλούστευση του προσδιορισμού των ποσών που περιλαμβάνονται στη δασμολογητέα αξία των εμπορευμάτων). </w:t>
                            </w:r>
                          </w:p>
                          <w:p w14:paraId="7241193C" w14:textId="77777777" w:rsidR="00A87C3C" w:rsidRDefault="00A87C3C" w:rsidP="00A87C3C">
                            <w:pPr>
                              <w:spacing w:after="0"/>
                              <w:rPr>
                                <w:color w:val="806000" w:themeColor="accent4" w:themeShade="80"/>
                                <w:sz w:val="18"/>
                              </w:rPr>
                            </w:pPr>
                          </w:p>
                          <w:p w14:paraId="2117C418" w14:textId="4C8DAD60" w:rsidR="003A5424" w:rsidRPr="00F201C7" w:rsidRDefault="00A87C3C" w:rsidP="00A87C3C">
                            <w:pPr>
                              <w:spacing w:after="0"/>
                              <w:rPr>
                                <w:color w:val="806000" w:themeColor="accent4" w:themeShade="80"/>
                                <w:sz w:val="18"/>
                              </w:rPr>
                            </w:pPr>
                            <w:r>
                              <w:rPr>
                                <w:color w:val="806000" w:themeColor="accent4" w:themeShade="80"/>
                                <w:sz w:val="18"/>
                              </w:rPr>
                              <w:t>Στο εξής, η διαβούλευση που αναφέρεται στο παρόν ισχύει μόνο για τις άδειες της ομάδας διαμετακόμισης και τακτικής γραμμής θαλάσσιας μεταφοράς.</w:t>
                            </w:r>
                          </w:p>
                        </w:txbxContent>
                      </wps:txbx>
                      <wps:bodyPr rot="0" vert="horz" wrap="square" lIns="90000" tIns="0" rIns="91440" bIns="0" anchor="ctr" anchorCtr="0">
                        <a:spAutoFit/>
                      </wps:bodyPr>
                    </wps:wsp>
                  </a:graphicData>
                </a:graphic>
              </wp:inline>
            </w:drawing>
          </mc:Choice>
          <mc:Fallback>
            <w:pict>
              <v:roundrec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6F622DD4"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" fillcolor="#ffc000" strokecolor="#ffd966 [1943]" strokeweight="2.25pt">
                <v:stroke joinstyle="miter"/>
                <v:textbox style="mso-fit-shape-to-text:t" inset="2.5mm,0,,0">
                  <w:txbxContent>
                    <w:p w14:paraId="62C068CE" w14:textId="5DCB9C31" w:rsidR="00A87C3C" w:rsidRDefault="003A5424" w:rsidP="00A87C3C">
                      <w:pPr>
                        <w:spacing w:after="0"/>
                        <w:jc w:val="left"/>
                        <w:rPr>
                          <w:color w:val="806000" w:themeColor="accent4" w:themeShade="80"/>
                          <w:sz w:val="18"/>
                        </w:rPr>
                      </w:pPr>
                      <w:r>
                        <w:rPr>
                          <w:noProof/>
                          <w:color w:val="806000" w:themeColor="accent4" w:themeShade="80"/>
                          <w:position w:val="-20"/>
                          <w:sz w:val="18"/>
                          <w:szCs w:val="18"/>
                        </w:rPr>
                        <w:drawing>
                          <wp:inline xmlns:wp14="http://schemas.microsoft.com/office/word/2010/wordprocessingDrawing" xmlns:wp="http://schemas.openxmlformats.org/drawingml/2006/wordprocessingDrawing" distT="0" distB="0" distL="0" distR="0" wp14:anchorId="27CA8C7C" wp14:editId="207C3AA1">
                            <wp:extent cx="360000" cy="360000"/>
                            <wp:effectExtent l="0" t="0" r="2540" b="2540"/>
                            <wp:docPr id="2"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color w:val="806000" w:themeColor="accent4" w:themeShade="80"/>
                          <w:sz w:val="18"/>
                        </w:rPr>
                        <w:t>Όλες οι αναφορές στη διαβούλευση με τα εμπλεκόμενα κράτη μέλη σε αυτήν την ενότητα αφορούν την τυποποιημένη διαδικασία διαβούλευσης με τα εμπλεκόμενα κράτη μέλη.</w:t>
                      </w:r>
                    </w:p>
                    <w:p w14:paraId="2A2BA53B" w14:textId="77777777" w:rsidR="00A87C3C" w:rsidRDefault="00A87C3C" w:rsidP="007F6F41">
                      <w:pPr>
                        <w:spacing w:after="0"/>
                        <w:rPr>
                          <w:color w:val="806000" w:themeColor="accent4" w:themeShade="80"/>
                          <w:sz w:val="18"/>
                        </w:rPr>
                      </w:pPr>
                    </w:p>
                    <w:p w14:paraId="5ADF88BD" w14:textId="4129656F" w:rsidR="00A87C3C" w:rsidRDefault="00A87C3C" w:rsidP="00A87C3C">
                      <w:pPr>
                        <w:spacing w:after="0"/>
                        <w:rPr>
                          <w:color w:val="806000" w:themeColor="accent4" w:themeShade="80"/>
                          <w:sz w:val="18"/>
                        </w:rPr>
                      </w:pPr>
                      <w:r>
                        <w:rPr>
                          <w:color w:val="806000" w:themeColor="accent4" w:themeShade="80"/>
                          <w:sz w:val="18"/>
                        </w:rPr>
                        <w:t xml:space="preserve">Αυτή η διαδικασία χρησιμοποιείται για την παροχή επισκόπησης του συνήθους τρόπου διαβούλευσης με ένα ή περισσότερα κράτη μέλη, παρόλο που δεν είναι δυνατή η διαβούλευση για τα είδη αδειών στην ομάδα «Άλλες αιτήσεις (Τυπική διαδικασία)» (άδεια για την παροχή συνολικής εγγύησης, περιλαμβανομένης της πιθανής εγγύησης μειωμένου ποσού ή της απαλλαγής από την υποχρέωση σύστασης εγγύησης, άδεια αναστολής πληρωμής, άδεια για την απλούστευση του προσδιορισμού των ποσών που περιλαμβάνονται στη δασμολογητέα αξία των εμπορευμάτων). </w:t>
                      </w:r>
                    </w:p>
                    <w:p w14:paraId="7241193C" w14:textId="77777777" w:rsidR="00A87C3C" w:rsidRDefault="00A87C3C" w:rsidP="00A87C3C">
                      <w:pPr>
                        <w:spacing w:after="0"/>
                        <w:rPr>
                          <w:color w:val="806000" w:themeColor="accent4" w:themeShade="80"/>
                          <w:sz w:val="18"/>
                        </w:rPr>
                      </w:pPr>
                    </w:p>
                    <w:p w14:paraId="2117C418" w14:textId="4C8DAD60" w:rsidR="003A5424" w:rsidRPr="00F201C7" w:rsidRDefault="00A87C3C" w:rsidP="00A87C3C">
                      <w:pPr>
                        <w:spacing w:after="0"/>
                        <w:rPr>
                          <w:color w:val="806000" w:themeColor="accent4" w:themeShade="80"/>
                          <w:sz w:val="18"/>
                        </w:rPr>
                      </w:pPr>
                      <w:r>
                        <w:rPr>
                          <w:color w:val="806000" w:themeColor="accent4" w:themeShade="80"/>
                          <w:sz w:val="18"/>
                        </w:rPr>
                        <w:t>Στο εξής, η διαβούλευση που αναφέρεται στο παρόν ισχύει μόνο για τις άδειες της ομάδας διαμετακόμισης και τακτικής γραμμής θαλάσσιας μεταφοράς.</w:t>
                      </w:r>
                    </w:p>
                  </w:txbxContent>
                </v:textbox>
                <w10:anchorlock xmlns:w10="urn:schemas-microsoft-com:office:word"/>
              </v:roundrect>
            </w:pict>
          </mc:Fallback>
        </mc:AlternateContent>
      </w:r>
    </w:p>
    <w:p w14:paraId="5EC7FFDB" w14:textId="144945A7" w:rsidR="0067563C" w:rsidRDefault="003F2201" w:rsidP="0067563C">
      <w:pPr>
        <w:keepNext/>
        <w:jc w:val="center"/>
      </w:pPr>
      <w:r>
        <w:object w:dxaOrig="8475" w:dyaOrig="3960" w14:anchorId="1A1E3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98pt" o:ole="">
            <v:imagedata r:id="rId15" o:title=""/>
          </v:shape>
          <o:OLEObject Type="Embed" ProgID="Visio.Drawing.11" ShapeID="_x0000_i1025" DrawAspect="Content" ObjectID="_1611055754" r:id="rId16"/>
        </w:object>
      </w:r>
    </w:p>
    <w:p w14:paraId="39AF6C4B" w14:textId="275CDD6E" w:rsidR="0067563C" w:rsidRDefault="0067563C" w:rsidP="0067563C">
      <w:pPr>
        <w:pStyle w:val="Caption"/>
      </w:pPr>
      <w:bookmarkStart w:id="1" w:name="_Ref475015953"/>
      <w:r>
        <w:t>Σχήμα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
      <w:r>
        <w:t xml:space="preserve"> – Υψηλού επιπέδου επισκόπηση της διαδικασίας λήψης απόφασης</w:t>
      </w:r>
    </w:p>
    <w:p w14:paraId="50434D78" w14:textId="2EE3DC3D" w:rsidR="007669E1" w:rsidRDefault="007669E1" w:rsidP="007669E1">
      <w:r>
        <w:lastRenderedPageBreak/>
        <w:t xml:space="preserve">Όταν ένα ή περισσότερα κράτη μέλη εμπλέκονται στην τελωνειακή απόφαση (πέραν της DTCA), ο τελωνειακός υπάλληλος μπορεί να διαβουλευθεί με τα εμπλεκόμενα κράτη μέλη σχετικά με την επαλήθευση των προϋποθέσεων και των κριτηρίων. </w:t>
      </w:r>
      <w:bookmarkStart w:id="2" w:name="_Hlk480460131"/>
      <w:r>
        <w:t>Τα εμπλεκόμενα κράτη μέλη είναι αυτά που ορίζονται από τον αιτούντα, στην αίτηση τελωνειακής απόφασης, στο στοιχείο «Γεωγραφική ισχύς»</w:t>
      </w:r>
      <w:bookmarkEnd w:id="2"/>
      <w:r>
        <w:t xml:space="preserve">. Για άδειες που σχετίζονται με τη διαμετακόμιση, </w:t>
      </w:r>
      <w:bookmarkStart w:id="3" w:name="_Hlk480460230"/>
      <w:r>
        <w:t>τα κράτη μέλη προς διαβούλευση θα πρέπει να επιλεγούν από τον τελωνειακό υπάλληλο μεταξύ του καταλόγου των εμπλεκόμενων κρατών μελών</w:t>
      </w:r>
      <w:bookmarkEnd w:id="3"/>
      <w:r>
        <w:t>. Για την άδεια λειτουργίας τακτικής γραμμής θαλάσσιας μεταφοράς, γίνεται αυτομάτως διαβούλευση με όλα τα εμπλεκόμενα κράτη μέλη.</w:t>
      </w:r>
    </w:p>
    <w:p w14:paraId="401405F8" w14:textId="008342A5" w:rsidR="00F201C7" w:rsidRDefault="007669E1" w:rsidP="00F201C7">
      <w:r>
        <w:t>Η αίτηση διαβούλευσης περιέχει έναν κατάλογο προϋποθέσεων και κριτηρίων προς επαλήθευση, καθώς και τις σχετικές προθεσμίες για την παροχή του αποτελέσματος της διαβούλευσης. Για το ETD, η προθεσμία ορίζεται νομικά σε 45 ημέρες. Για την περίπτωση της τακτικής γραμμής θαλάσσιας μεταφοράς, η προθεσμία ορίζεται σε 15 ημέρες.</w:t>
      </w:r>
    </w:p>
    <w:p w14:paraId="5AE7AAFC" w14:textId="555F6575" w:rsidR="00F40D41" w:rsidRDefault="00C82863" w:rsidP="00DA38BA">
      <w:r>
        <w:t xml:space="preserve">Στο </w:t>
      </w:r>
      <w:r>
        <w:fldChar w:fldCharType="begin"/>
      </w:r>
      <w:r>
        <w:instrText xml:space="preserve"> REF _Ref475605945 \h </w:instrText>
      </w:r>
      <w:r>
        <w:fldChar w:fldCharType="separate"/>
      </w:r>
      <w:r w:rsidR="004A6748">
        <w:t>Σχήμα</w:t>
      </w:r>
      <w:r>
        <w:t xml:space="preserve"> </w:t>
      </w:r>
      <w:r>
        <w:rPr>
          <w:noProof/>
        </w:rPr>
        <w:t>2</w:t>
      </w:r>
      <w:r>
        <w:fldChar w:fldCharType="end"/>
      </w:r>
      <w:r>
        <w:t xml:space="preserve"> παρουσιάζεται η υψηλού επιπέδου επισκόπηση της διαδικασίας διαβούλευσης με τα εμπλεκόμενα κράτη μέλη.</w:t>
      </w:r>
    </w:p>
    <w:p w14:paraId="04976D2D" w14:textId="77777777" w:rsidR="00F40D41" w:rsidRDefault="00F40D41" w:rsidP="00DA38BA"/>
    <w:p w14:paraId="0AD5E6A9" w14:textId="6771568E" w:rsidR="00C82863" w:rsidRDefault="00F51795" w:rsidP="00C82863">
      <w:pPr>
        <w:keepNext/>
        <w:jc w:val="center"/>
      </w:pPr>
      <w:r>
        <w:object w:dxaOrig="8631" w:dyaOrig="5253" w14:anchorId="579BA9AD">
          <v:shape id="_x0000_i1026" type="#_x0000_t75" style="width:431.55pt;height:262.65pt" o:ole="">
            <v:imagedata r:id="rId17" o:title=""/>
          </v:shape>
          <o:OLEObject Type="Embed" ProgID="Visio.Drawing.11" ShapeID="_x0000_i1026" DrawAspect="Content" ObjectID="_1611055755" r:id="rId18"/>
        </w:object>
      </w:r>
    </w:p>
    <w:p w14:paraId="0574E556" w14:textId="1198ED9B" w:rsidR="00F40D41" w:rsidRDefault="00C82863" w:rsidP="00C82863">
      <w:pPr>
        <w:pStyle w:val="Caption"/>
      </w:pPr>
      <w:bookmarkStart w:id="4" w:name="_Ref475605945"/>
      <w:r>
        <w:t>Σχήμα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4"/>
      <w:r>
        <w:t xml:space="preserve"> – Υψηλού επιπέδου επισκόπηση της διαδικασίας διαβούλευσης με τα εμπλεκόμενα κράτη μέλη</w:t>
      </w:r>
    </w:p>
    <w:p w14:paraId="06FB2C2F" w14:textId="77777777" w:rsidR="00DD27EA" w:rsidRDefault="00DD27EA" w:rsidP="00DD27EA"/>
    <w:p w14:paraId="2C2E76D7" w14:textId="5F23ABB2" w:rsidR="00DD27EA" w:rsidRDefault="00DD27EA" w:rsidP="00DD27EA">
      <w:bookmarkStart w:id="5" w:name="_Hlk480460258"/>
      <w:r>
        <w:t>Η διαδικασία ξεκινά κατά τη διαδικασία λήψης απόφασης, όταν ο τελωνειακός υπάλληλος πρέπει να διαβουλευθεί με το εμπλεκόμενο κράτος μέλος σχετικά με την επαλήθευση των προϋποθέσεων και των κριτηρίων.</w:t>
      </w:r>
      <w:bookmarkEnd w:id="5"/>
      <w:r>
        <w:t xml:space="preserve"> Η αίτηση διαβούλευσης που υποβάλλεται στον τελωνειακό υπάλληλο του εμπλεκόμενου κράτους μέλους περιλαμβάνει τα ακόλουθα στοιχεία:</w:t>
      </w:r>
    </w:p>
    <w:p w14:paraId="6FF11A8E" w14:textId="2AB1A748" w:rsidR="00B874AA" w:rsidRDefault="00B874AA" w:rsidP="00B7713A">
      <w:pPr>
        <w:pStyle w:val="ListParagraph"/>
        <w:numPr>
          <w:ilvl w:val="0"/>
          <w:numId w:val="43"/>
        </w:numPr>
        <w:ind w:left="568" w:hanging="284"/>
        <w:contextualSpacing w:val="0"/>
      </w:pPr>
      <w:r>
        <w:t>Αριθμός αναφοράς αίτησης για την οποία θα πρέπει να παρασχεθεί το αποτέλεσμα της διαβούλευσης·</w:t>
      </w:r>
    </w:p>
    <w:p w14:paraId="7EB62822" w14:textId="04F28621" w:rsidR="00DD27EA" w:rsidRDefault="00DD27EA" w:rsidP="00B7713A">
      <w:pPr>
        <w:pStyle w:val="ListParagraph"/>
        <w:numPr>
          <w:ilvl w:val="0"/>
          <w:numId w:val="43"/>
        </w:numPr>
        <w:ind w:left="568" w:hanging="284"/>
        <w:contextualSpacing w:val="0"/>
      </w:pPr>
      <w:r>
        <w:t>Προϋποθέσεις και κριτήρια προς επαλήθευση·</w:t>
      </w:r>
    </w:p>
    <w:p w14:paraId="67105CC1" w14:textId="03B22170" w:rsidR="00DD27EA" w:rsidRDefault="00DD27EA" w:rsidP="00B7713A">
      <w:pPr>
        <w:pStyle w:val="ListParagraph"/>
        <w:numPr>
          <w:ilvl w:val="0"/>
          <w:numId w:val="43"/>
        </w:numPr>
        <w:ind w:left="568" w:hanging="284"/>
        <w:contextualSpacing w:val="0"/>
      </w:pPr>
      <w:r>
        <w:t>Προθεσμία ολοκλήρωσης της διαβούλευσης.</w:t>
      </w:r>
    </w:p>
    <w:p w14:paraId="380F2C09" w14:textId="0608B722" w:rsidR="003A5424" w:rsidRDefault="00E94409" w:rsidP="003A5424">
      <w:r>
        <w:t>Μετά την παραλαβή της αίτησης, ο τελωνειακός υπάλληλος της τελωνειακής αρχής της οποίας ζητείται η γνώμη ξεκινά να ελέγχει τις σχετικές προϋποθέσεις και τα κριτήρια.</w:t>
      </w:r>
    </w:p>
    <w:p w14:paraId="73EC8EF3" w14:textId="0C5D9300" w:rsidR="003A5424" w:rsidRDefault="00A91851" w:rsidP="003A5424">
      <w:r>
        <w:t>Υπάρχουν δύο πιθανά αποτελέσματα από τη συγκεκριμένη επαλήθευση:</w:t>
      </w:r>
    </w:p>
    <w:p w14:paraId="5534E4D5" w14:textId="5FF3B4B3" w:rsidR="003A5424" w:rsidRDefault="003A5424" w:rsidP="00B7713A">
      <w:pPr>
        <w:pStyle w:val="ListParagraph"/>
        <w:numPr>
          <w:ilvl w:val="0"/>
          <w:numId w:val="43"/>
        </w:numPr>
        <w:ind w:left="568" w:hanging="284"/>
        <w:contextualSpacing w:val="0"/>
      </w:pPr>
      <w:r>
        <w:lastRenderedPageBreak/>
        <w:t>Οι προϋποθέσεις και τα κριτήρια πληρούνται·</w:t>
      </w:r>
    </w:p>
    <w:p w14:paraId="693B9013" w14:textId="5C3E0F69" w:rsidR="003A5424" w:rsidRDefault="00620068" w:rsidP="00B7713A">
      <w:pPr>
        <w:pStyle w:val="ListParagraph"/>
        <w:numPr>
          <w:ilvl w:val="0"/>
          <w:numId w:val="43"/>
        </w:numPr>
        <w:ind w:left="568" w:hanging="284"/>
        <w:contextualSpacing w:val="0"/>
      </w:pPr>
      <w:r>
        <w:t>Τουλάχιστον ένα από τις προϋποθέσεις και τα κριτήρια δεν πληρούται.</w:t>
      </w:r>
    </w:p>
    <w:p w14:paraId="0C56AB0B" w14:textId="66E7F075" w:rsidR="003A5424" w:rsidRDefault="00D8240E" w:rsidP="00827AD0">
      <w:r>
        <w:t xml:space="preserve">Μετά την ολοκλήρωση της επαλήθευσης, το αποτέλεσμα της διαβούλευσης - που περιλαμβάνει την επαλήθευση όλων των απαιτούμενων ελέγχων - διαβιβάζεται αυτομάτως στον τελωνειακό υπάλληλο της αρμόδιας για τη λήψη απόφασης τελωνειακής αρχής. </w:t>
      </w:r>
    </w:p>
    <w:p w14:paraId="38EEB6F2" w14:textId="6AA6502E" w:rsidR="00C91207" w:rsidRDefault="00C91207" w:rsidP="00827AD0">
      <w:r>
        <w:t>Όταν ολοκληρωθούν όλες οι διαβουλεύσεις, ο τελωνειακός υπάλληλος καταχωρίζει το τελικό αποτέλεσμα διαβούλευσης (θετικό ή αρνητικό) μαζί με την αιτιολόγηση. Στη συνέχεια, θα είναι σε θέση να συνεχίσει την επαλήθευση των προϋποθέσεων και των κριτηρίων, με τη βοήθεια των μεμονωμένων αποτελεσμάτων της διαβούλευσης.</w:t>
      </w:r>
    </w:p>
    <w:p w14:paraId="639EEE50" w14:textId="4E1A5A6D" w:rsidR="00760788" w:rsidRDefault="00760788" w:rsidP="00760788">
      <w:pPr>
        <w:spacing w:before="120" w:after="240"/>
      </w:pPr>
      <w:r>
        <w:rPr>
          <w:noProof/>
          <w:lang w:val="en-GB" w:eastAsia="en-GB" w:bidi="ar-SA"/>
        </w:rPr>
        <mc:AlternateContent>
          <mc:Choice Requires="wps">
            <w:drawing>
              <wp:anchor distT="107950" distB="107950" distL="215900" distR="114300" simplePos="0" relativeHeight="251657216" behindDoc="0" locked="0" layoutInCell="1" allowOverlap="1" wp14:anchorId="63296E51" wp14:editId="20F8FB67">
                <wp:simplePos x="0" y="0"/>
                <wp:positionH relativeFrom="column">
                  <wp:posOffset>2900680</wp:posOffset>
                </wp:positionH>
                <wp:positionV relativeFrom="paragraph">
                  <wp:posOffset>133350</wp:posOffset>
                </wp:positionV>
                <wp:extent cx="2908300" cy="838200"/>
                <wp:effectExtent l="19050" t="19050" r="25400" b="1905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838200"/>
                        </a:xfrm>
                        <a:prstGeom prst="roundRect">
                          <a:avLst/>
                        </a:prstGeom>
                        <a:solidFill>
                          <a:srgbClr val="002060"/>
                        </a:solidFill>
                        <a:ln w="28575">
                          <a:solidFill>
                            <a:schemeClr val="accent5">
                              <a:lumMod val="20000"/>
                              <a:lumOff val="8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A5FD09C" w14:textId="3E8684CB" w:rsidR="00760788" w:rsidRPr="006602E5" w:rsidRDefault="00760788" w:rsidP="00760788">
                            <w:pPr>
                              <w:rPr>
                                <w:color w:val="FFFFFF" w:themeColor="background1"/>
                                <w:sz w:val="18"/>
                              </w:rPr>
                            </w:pPr>
                            <w:r>
                              <w:rPr>
                                <w:noProof/>
                                <w:color w:val="FFFFFF" w:themeColor="background1"/>
                                <w:sz w:val="18"/>
                                <w:lang w:val="en-GB" w:eastAsia="en-GB" w:bidi="ar-SA"/>
                              </w:rPr>
                              <w:drawing>
                                <wp:inline distT="0" distB="0" distL="0" distR="0" wp14:anchorId="4D926884" wp14:editId="04C062E7">
                                  <wp:extent cx="360000" cy="360000"/>
                                  <wp:effectExtent l="0" t="0" r="0" b="2540"/>
                                  <wp:docPr id="22"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20"/>
                                              </a:ext>
                                            </a:extLst>
                                          </a:blip>
                                          <a:stretch>
                                            <a:fillRect/>
                                          </a:stretch>
                                        </pic:blipFill>
                                        <pic:spPr>
                                          <a:xfrm>
                                            <a:off x="0" y="0"/>
                                            <a:ext cx="360000" cy="360000"/>
                                          </a:xfrm>
                                          <a:prstGeom prst="rect">
                                            <a:avLst/>
                                          </a:prstGeom>
                                        </pic:spPr>
                                      </pic:pic>
                                    </a:graphicData>
                                  </a:graphic>
                                </wp:inline>
                              </w:drawing>
                            </w:r>
                            <w:r>
                              <w:rPr>
                                <w:color w:val="FFFFFF" w:themeColor="background1"/>
                                <w:sz w:val="18"/>
                              </w:rPr>
                              <w:t>Ο τελωνειακός υπάλληλος της τελωνειακής αρχής της οποίας ζητείται η γνώμη μπορεί να ζητήσει αρκετές παρατάσεις της προθεσμίας εάν το κρίνει απαραίτητο.</w:t>
                            </w:r>
                          </w:p>
                          <w:p w14:paraId="78D2E46F" w14:textId="77777777" w:rsidR="00760788" w:rsidRPr="006602E5" w:rsidRDefault="00760788" w:rsidP="00760788">
                            <w:pPr>
                              <w:rPr>
                                <w:sz w:val="18"/>
                              </w:rPr>
                            </w:pPr>
                          </w:p>
                        </w:txbxContent>
                      </wps:txbx>
                      <wps:bodyPr rot="0" vert="horz" wrap="square" lIns="90000" tIns="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63296E51" id="_x0000_s1027" style="position:absolute;left:0;text-align:left;margin-left:228.4pt;margin-top:10.5pt;width:229pt;height:66pt;z-index:251657216;visibility:visible;mso-wrap-style:square;mso-width-percent:0;mso-height-percent:0;mso-wrap-distance-left:17pt;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" fillcolor="#002060" strokecolor="#d9e2f3 [664]" strokeweight="2.25pt">
                <v:stroke joinstyle="miter"/>
                <v:textbox inset="2.5mm,0,,0">
                  <w:txbxContent>
                    <w:p w14:paraId="6A5FD09C" w14:textId="3E8684CB" w:rsidR="00760788" w:rsidRPr="006602E5" w:rsidRDefault="00760788" w:rsidP="00760788">
                      <w:pPr>
                        <w:rPr>
                          <w:color w:val="FFFFFF" w:themeColor="background1"/>
                          <w:sz w:val="18"/>
                        </w:rPr>
                      </w:pPr>
                      <w:r>
                        <w:rPr>
                          <w:noProof/>
                          <w:color w:val="FFFFFF" w:themeColor="background1"/>
                          <w:sz w:val="18"/>
                        </w:rPr>
                        <w:drawing>
                          <wp:inline xmlns:wp14="http://schemas.microsoft.com/office/word/2010/wordprocessingDrawing" xmlns:wp="http://schemas.openxmlformats.org/drawingml/2006/wordprocessingDrawing" distT="0" distB="0" distL="0" distR="0" wp14:anchorId="4D926884" wp14:editId="04C062E7">
                            <wp:extent cx="360000" cy="360000"/>
                            <wp:effectExtent l="0" t="0" r="0" b="2540"/>
                            <wp:docPr id="22"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color w:val="FFFFFF" w:themeColor="background1"/>
                          <w:sz w:val="18"/>
                        </w:rPr>
                        <w:t>Ο τελωνειακός υπάλληλος της τελωνειακής αρχής της οποίας ζητείται η γνώμη μπορεί να ζητήσει αρκετές παρατάσεις της προθεσμίας εάν το κρίνει απαραίτητο.</w:t>
                      </w:r>
                    </w:p>
                    <w:p w14:paraId="78D2E46F" w14:textId="77777777" w:rsidR="00760788" w:rsidRPr="006602E5" w:rsidRDefault="00760788" w:rsidP="00760788">
                      <w:pPr>
                        <w:rPr>
                          <w:sz w:val="18"/>
                        </w:rPr>
                      </w:pPr>
                    </w:p>
                  </w:txbxContent>
                </v:textbox>
                <w10:wrap xmlns:w10="urn:schemas-microsoft-com:office:word" type="square"/>
              </v:roundrect>
            </w:pict>
          </mc:Fallback>
        </mc:AlternateContent>
      </w:r>
      <w:r>
        <w:t>Εάν, κατά τον έλεγχο των προϋποθέσεων και των κριτηρίων, οι αρχές των οποίων ζητείται η γνώμη διαπιστώσουν ότι η προτεινόμενη προθεσμία δεν επαρκεί για την επαλήθευση, ο τελωνειακός υπάλληλος της τελωνειακής αρχής της οποίας ζητείται η γνώμη μπορεί να ζητήσει παράταση της προθεσμίας από την αρμόδια για τη λήψη απόφασης τελωνειακή αρχή. Η συγκεκριμένη αίτηση θα γνωστοποιηθεί στον τελωνειακό υπάλληλο της DTCA, την οποία είτε θα εγκρίνει είτε θα απορρίψει.</w:t>
      </w:r>
    </w:p>
    <w:p w14:paraId="21FB7895" w14:textId="64D9A9F8" w:rsidR="0037302D" w:rsidRDefault="0037302D" w:rsidP="0037302D">
      <w:r>
        <w:t>Εάν ο τελωνειακός υπάλληλος εγκρίνει την αίτηση παράτασης της προθεσμίας, το σύστημα τελωνειακών αποφάσεων παρατείνει αυτόματα την προθεσμία διαβούλευσης με το κράτος μέλος. Στη συνέχεια, ο τελωνειακός υπάλληλος του κράτους μέλους του οποίου ζητείται η γνώμη θα ενημερωθεί σχετικά με το αποτέλεσμα της αίτησης παράτασης της προθεσμίας. Η γνωστοποίηση μπορεί να είναι μία από τις ακόλουθες:</w:t>
      </w:r>
    </w:p>
    <w:p w14:paraId="474D9F28" w14:textId="6D221982" w:rsidR="0037302D" w:rsidRDefault="0037302D" w:rsidP="00B7713A">
      <w:pPr>
        <w:pStyle w:val="ListParagraph"/>
        <w:numPr>
          <w:ilvl w:val="0"/>
          <w:numId w:val="43"/>
        </w:numPr>
        <w:ind w:left="568" w:hanging="284"/>
        <w:contextualSpacing w:val="0"/>
      </w:pPr>
      <w:r>
        <w:t>Η αίτηση παράτασης της προθεσμίας εγκρίνεται. Η γνωστοποίηση περιέχει επίσης πληροφορίες σχετικά με την παράταση (αριθμός ημερών) και τη νέα ημερομηνία ολοκλήρωσης της διαδικασίας διαβούλευσης.</w:t>
      </w:r>
    </w:p>
    <w:p w14:paraId="07DF8FC3" w14:textId="6E72373E" w:rsidR="0037302D" w:rsidRDefault="0037302D" w:rsidP="00B7713A">
      <w:pPr>
        <w:pStyle w:val="ListParagraph"/>
        <w:numPr>
          <w:ilvl w:val="0"/>
          <w:numId w:val="43"/>
        </w:numPr>
        <w:ind w:left="568" w:hanging="284"/>
        <w:contextualSpacing w:val="0"/>
      </w:pPr>
      <w:r>
        <w:t>Η αίτηση παράτασης της προθεσμίας απορρίπτεται. Η γνωστοποίηση περιγράφει επίσης τον λόγο απόρριψης.</w:t>
      </w:r>
    </w:p>
    <w:p w14:paraId="7D198E06" w14:textId="53DF09D1" w:rsidR="00C6402F" w:rsidRPr="00DD27EA" w:rsidRDefault="00FE2CF9" w:rsidP="00FE2CF9">
      <w:r>
        <w:t>Όταν δεν έχει διαβιβαστεί το αποτέλεσμα διαβούλευσης από το κράτος μέλος του οποίου ζητείται η γνώμη εντός της προθεσμίας, θεωρείται ότι πληρούνται οι προϋποθέσεις και τα κριτήρια εκ μέρους του συγκεκριμένου κράτους μέλους του οποίου ζητήθηκε η γνώμη.</w:t>
      </w:r>
    </w:p>
    <w:sectPr w:rsidR="00C6402F" w:rsidRPr="00DD27EA" w:rsidSect="0056695E">
      <w:footerReference w:type="default" r:id="rId22"/>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3A5424" w:rsidRDefault="003A5424">
      <w:r>
        <w:separator/>
      </w:r>
    </w:p>
  </w:endnote>
  <w:endnote w:type="continuationSeparator" w:id="0">
    <w:p w14:paraId="2C4045C7" w14:textId="77777777" w:rsidR="003A5424" w:rsidRDefault="003A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OE- Roman">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72E807E1" w14:textId="3F6BA8C9" w:rsidR="003A5424" w:rsidRDefault="003A5424" w:rsidP="0018007A">
        <w:pPr>
          <w:pStyle w:val="Footer"/>
          <w:jc w:val="center"/>
        </w:pPr>
        <w:r>
          <w:fldChar w:fldCharType="begin"/>
        </w:r>
        <w:r>
          <w:instrText xml:space="preserve"> PAGE   \* MERGEFORMAT </w:instrText>
        </w:r>
        <w:r>
          <w:fldChar w:fldCharType="separate"/>
        </w:r>
        <w:r w:rsidR="004A674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3A5424" w:rsidRDefault="003A5424">
      <w:r>
        <w:separator/>
      </w:r>
    </w:p>
  </w:footnote>
  <w:footnote w:type="continuationSeparator" w:id="0">
    <w:p w14:paraId="64D1458D" w14:textId="77777777" w:rsidR="003A5424" w:rsidRDefault="003A5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3E5CD97C"/>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50B2D33"/>
    <w:multiLevelType w:val="hybridMultilevel"/>
    <w:tmpl w:val="D90EAC14"/>
    <w:lvl w:ilvl="0" w:tplc="E3C0C31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A76C15"/>
    <w:multiLevelType w:val="hybridMultilevel"/>
    <w:tmpl w:val="52A4D4C0"/>
    <w:lvl w:ilvl="0" w:tplc="AD70204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3">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234BFB"/>
    <w:multiLevelType w:val="hybridMultilevel"/>
    <w:tmpl w:val="3DF4407E"/>
    <w:lvl w:ilvl="0" w:tplc="AD70204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9">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CA188B"/>
    <w:multiLevelType w:val="hybridMultilevel"/>
    <w:tmpl w:val="A15E27F4"/>
    <w:lvl w:ilvl="0" w:tplc="E3C0C31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7">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5">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2"/>
  </w:num>
  <w:num w:numId="4">
    <w:abstractNumId w:val="0"/>
  </w:num>
  <w:num w:numId="5">
    <w:abstractNumId w:val="20"/>
  </w:num>
  <w:num w:numId="6">
    <w:abstractNumId w:val="1"/>
  </w:num>
  <w:num w:numId="7">
    <w:abstractNumId w:val="4"/>
  </w:num>
  <w:num w:numId="8">
    <w:abstractNumId w:val="41"/>
  </w:num>
  <w:num w:numId="9">
    <w:abstractNumId w:val="33"/>
  </w:num>
  <w:num w:numId="10">
    <w:abstractNumId w:val="31"/>
  </w:num>
  <w:num w:numId="11">
    <w:abstractNumId w:val="23"/>
  </w:num>
  <w:num w:numId="12">
    <w:abstractNumId w:val="38"/>
  </w:num>
  <w:num w:numId="13">
    <w:abstractNumId w:val="21"/>
  </w:num>
  <w:num w:numId="14">
    <w:abstractNumId w:val="15"/>
  </w:num>
  <w:num w:numId="15">
    <w:abstractNumId w:val="19"/>
  </w:num>
  <w:num w:numId="16">
    <w:abstractNumId w:val="6"/>
  </w:num>
  <w:num w:numId="17">
    <w:abstractNumId w:val="16"/>
  </w:num>
  <w:num w:numId="18">
    <w:abstractNumId w:val="28"/>
  </w:num>
  <w:num w:numId="19">
    <w:abstractNumId w:val="45"/>
  </w:num>
  <w:num w:numId="20">
    <w:abstractNumId w:val="17"/>
  </w:num>
  <w:num w:numId="21">
    <w:abstractNumId w:val="40"/>
  </w:num>
  <w:num w:numId="22">
    <w:abstractNumId w:val="27"/>
  </w:num>
  <w:num w:numId="23">
    <w:abstractNumId w:val="37"/>
  </w:num>
  <w:num w:numId="24">
    <w:abstractNumId w:val="29"/>
  </w:num>
  <w:num w:numId="25">
    <w:abstractNumId w:val="34"/>
  </w:num>
  <w:num w:numId="26">
    <w:abstractNumId w:val="42"/>
  </w:num>
  <w:num w:numId="27">
    <w:abstractNumId w:val="32"/>
  </w:num>
  <w:num w:numId="28">
    <w:abstractNumId w:val="9"/>
  </w:num>
  <w:num w:numId="29">
    <w:abstractNumId w:val="14"/>
  </w:num>
  <w:num w:numId="30">
    <w:abstractNumId w:val="36"/>
  </w:num>
  <w:num w:numId="31">
    <w:abstractNumId w:val="43"/>
  </w:num>
  <w:num w:numId="32">
    <w:abstractNumId w:val="44"/>
  </w:num>
  <w:num w:numId="33">
    <w:abstractNumId w:val="18"/>
  </w:num>
  <w:num w:numId="34">
    <w:abstractNumId w:val="22"/>
  </w:num>
  <w:num w:numId="35">
    <w:abstractNumId w:val="24"/>
  </w:num>
  <w:num w:numId="36">
    <w:abstractNumId w:val="26"/>
  </w:num>
  <w:num w:numId="37">
    <w:abstractNumId w:val="13"/>
  </w:num>
  <w:num w:numId="38">
    <w:abstractNumId w:val="11"/>
  </w:num>
  <w:num w:numId="39">
    <w:abstractNumId w:val="30"/>
  </w:num>
  <w:num w:numId="40">
    <w:abstractNumId w:val="39"/>
  </w:num>
  <w:num w:numId="41">
    <w:abstractNumId w:val="7"/>
  </w:num>
  <w:num w:numId="42">
    <w:abstractNumId w:val="10"/>
  </w:num>
  <w:num w:numId="43">
    <w:abstractNumId w:val="3"/>
  </w:num>
  <w:num w:numId="44">
    <w:abstractNumId w:val="8"/>
  </w:num>
  <w:num w:numId="45">
    <w:abstractNumId w:val="25"/>
  </w:num>
  <w:num w:numId="46">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5537">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1FC0"/>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442"/>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0A4"/>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251"/>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0EF"/>
    <w:rsid w:val="000B230F"/>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75"/>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0E4"/>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5EC"/>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6FD"/>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07A"/>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2F3"/>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4FA7"/>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A25"/>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67B05"/>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2CA1"/>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50B"/>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311"/>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50F"/>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02D"/>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24"/>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601"/>
    <w:rsid w:val="003E68F2"/>
    <w:rsid w:val="003E7350"/>
    <w:rsid w:val="003F0ED8"/>
    <w:rsid w:val="003F1183"/>
    <w:rsid w:val="003F122A"/>
    <w:rsid w:val="003F1F04"/>
    <w:rsid w:val="003F2201"/>
    <w:rsid w:val="003F238E"/>
    <w:rsid w:val="003F2870"/>
    <w:rsid w:val="003F28A8"/>
    <w:rsid w:val="003F28E5"/>
    <w:rsid w:val="003F2B1B"/>
    <w:rsid w:val="003F379E"/>
    <w:rsid w:val="003F3A3F"/>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65B"/>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3D"/>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46E"/>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748"/>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0A"/>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8E3"/>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379D"/>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D4F"/>
    <w:rsid w:val="00583F42"/>
    <w:rsid w:val="00584074"/>
    <w:rsid w:val="00584254"/>
    <w:rsid w:val="005842C7"/>
    <w:rsid w:val="00584ED9"/>
    <w:rsid w:val="00584EDD"/>
    <w:rsid w:val="00585693"/>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4D"/>
    <w:rsid w:val="005E75FC"/>
    <w:rsid w:val="005E7B93"/>
    <w:rsid w:val="005F00FF"/>
    <w:rsid w:val="005F096E"/>
    <w:rsid w:val="005F0C27"/>
    <w:rsid w:val="005F0ECE"/>
    <w:rsid w:val="005F1072"/>
    <w:rsid w:val="005F10BE"/>
    <w:rsid w:val="005F204E"/>
    <w:rsid w:val="005F2054"/>
    <w:rsid w:val="005F2C1A"/>
    <w:rsid w:val="005F3499"/>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068"/>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4E3"/>
    <w:rsid w:val="00624542"/>
    <w:rsid w:val="00624765"/>
    <w:rsid w:val="0062529D"/>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63C"/>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D8C"/>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41"/>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4A"/>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788"/>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9E1"/>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6F6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20A"/>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288"/>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461"/>
    <w:rsid w:val="007E6970"/>
    <w:rsid w:val="007E6F97"/>
    <w:rsid w:val="007E7025"/>
    <w:rsid w:val="007E74D1"/>
    <w:rsid w:val="007E7E92"/>
    <w:rsid w:val="007F0056"/>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6F41"/>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6D03"/>
    <w:rsid w:val="00807387"/>
    <w:rsid w:val="00807892"/>
    <w:rsid w:val="0081054B"/>
    <w:rsid w:val="0081085A"/>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AD0"/>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670"/>
    <w:rsid w:val="008A3C4D"/>
    <w:rsid w:val="008A3DBA"/>
    <w:rsid w:val="008A3FFB"/>
    <w:rsid w:val="008A4072"/>
    <w:rsid w:val="008A4143"/>
    <w:rsid w:val="008A422F"/>
    <w:rsid w:val="008A4509"/>
    <w:rsid w:val="008A4F64"/>
    <w:rsid w:val="008A5AD9"/>
    <w:rsid w:val="008A60C5"/>
    <w:rsid w:val="008A62CD"/>
    <w:rsid w:val="008A701F"/>
    <w:rsid w:val="008A7318"/>
    <w:rsid w:val="008A7551"/>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25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8A1"/>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295E"/>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132"/>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5984"/>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6094"/>
    <w:rsid w:val="009E738A"/>
    <w:rsid w:val="009E7BCD"/>
    <w:rsid w:val="009E7E5B"/>
    <w:rsid w:val="009F0401"/>
    <w:rsid w:val="009F06BF"/>
    <w:rsid w:val="009F09D1"/>
    <w:rsid w:val="009F1311"/>
    <w:rsid w:val="009F1430"/>
    <w:rsid w:val="009F17B3"/>
    <w:rsid w:val="009F20CE"/>
    <w:rsid w:val="009F2251"/>
    <w:rsid w:val="009F231C"/>
    <w:rsid w:val="009F2359"/>
    <w:rsid w:val="009F2971"/>
    <w:rsid w:val="009F29FA"/>
    <w:rsid w:val="009F2A69"/>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555"/>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6E54"/>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5E67"/>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87C3C"/>
    <w:rsid w:val="00A902B0"/>
    <w:rsid w:val="00A91206"/>
    <w:rsid w:val="00A913CE"/>
    <w:rsid w:val="00A91851"/>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72F"/>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2C34"/>
    <w:rsid w:val="00B62E80"/>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6D44"/>
    <w:rsid w:val="00B7713A"/>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4AA"/>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17C"/>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2CDB"/>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886"/>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396"/>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9A6"/>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40D"/>
    <w:rsid w:val="00C6373C"/>
    <w:rsid w:val="00C63A72"/>
    <w:rsid w:val="00C63B13"/>
    <w:rsid w:val="00C6402F"/>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863"/>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07"/>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2632"/>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AFC"/>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D7C"/>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240E"/>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529"/>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7EA"/>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0FA"/>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0E89"/>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B14"/>
    <w:rsid w:val="00E27E44"/>
    <w:rsid w:val="00E3008D"/>
    <w:rsid w:val="00E301C2"/>
    <w:rsid w:val="00E309DA"/>
    <w:rsid w:val="00E30B37"/>
    <w:rsid w:val="00E30B7D"/>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4F94"/>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C8A"/>
    <w:rsid w:val="00E86F7C"/>
    <w:rsid w:val="00E8717C"/>
    <w:rsid w:val="00E8717E"/>
    <w:rsid w:val="00E903B4"/>
    <w:rsid w:val="00E9067A"/>
    <w:rsid w:val="00E90C7B"/>
    <w:rsid w:val="00E90F8A"/>
    <w:rsid w:val="00E920AA"/>
    <w:rsid w:val="00E93DAA"/>
    <w:rsid w:val="00E93FDD"/>
    <w:rsid w:val="00E94409"/>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6C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34A"/>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1C7"/>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5F79"/>
    <w:rsid w:val="00F36002"/>
    <w:rsid w:val="00F36418"/>
    <w:rsid w:val="00F36D09"/>
    <w:rsid w:val="00F37044"/>
    <w:rsid w:val="00F3730A"/>
    <w:rsid w:val="00F3792F"/>
    <w:rsid w:val="00F37D4A"/>
    <w:rsid w:val="00F37DB7"/>
    <w:rsid w:val="00F37E38"/>
    <w:rsid w:val="00F37F8C"/>
    <w:rsid w:val="00F4062E"/>
    <w:rsid w:val="00F407BF"/>
    <w:rsid w:val="00F4081A"/>
    <w:rsid w:val="00F40D41"/>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795"/>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6B"/>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994"/>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2CF9"/>
    <w:rsid w:val="00FE370F"/>
    <w:rsid w:val="00FE3A41"/>
    <w:rsid w:val="00FE4089"/>
    <w:rsid w:val="00FE44A2"/>
    <w:rsid w:val="00FE46A8"/>
    <w:rsid w:val="00FE4D66"/>
    <w:rsid w:val="00FE5905"/>
    <w:rsid w:val="00FE5FAC"/>
    <w:rsid w:val="00FE618E"/>
    <w:rsid w:val="00FE79CF"/>
    <w:rsid w:val="00FE7AB4"/>
    <w:rsid w:val="00FE7E22"/>
    <w:rsid w:val="00FF059E"/>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6DC7"/>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18007A"/>
    <w:rPr>
      <w:rFonts w:ascii="Arial" w:hAnsi="Arial"/>
      <w:sz w:val="18"/>
      <w:szCs w:val="24"/>
      <w:lang w:eastAsia="el-GR"/>
    </w:rPr>
  </w:style>
  <w:style w:type="table" w:customStyle="1" w:styleId="GridTable5Dark-Accent41">
    <w:name w:val="Grid Table 5 Dark - Accent 41"/>
    <w:basedOn w:val="TableNormal"/>
    <w:uiPriority w:val="50"/>
    <w:rsid w:val="007F6F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18007A"/>
    <w:rPr>
      <w:rFonts w:ascii="Arial" w:hAnsi="Arial"/>
      <w:sz w:val="18"/>
      <w:szCs w:val="24"/>
      <w:lang w:eastAsia="el-GR"/>
    </w:rPr>
  </w:style>
  <w:style w:type="table" w:customStyle="1" w:styleId="GridTable5Dark-Accent41">
    <w:name w:val="Grid Table 5 Dark - Accent 41"/>
    <w:basedOn w:val="TableNormal"/>
    <w:uiPriority w:val="50"/>
    <w:rsid w:val="007F6F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67397111">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6472879">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48608619">
      <w:bodyDiv w:val="1"/>
      <w:marLeft w:val="0"/>
      <w:marRight w:val="0"/>
      <w:marTop w:val="0"/>
      <w:marBottom w:val="0"/>
      <w:divBdr>
        <w:top w:val="none" w:sz="0" w:space="0" w:color="auto"/>
        <w:left w:val="none" w:sz="0" w:space="0" w:color="auto"/>
        <w:bottom w:val="none" w:sz="0" w:space="0" w:color="auto"/>
        <w:right w:val="none" w:sz="0" w:space="0" w:color="auto"/>
      </w:divBdr>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2.xml><?xml version="1.0" encoding="utf-8"?>
<ds:datastoreItem xmlns:ds="http://schemas.openxmlformats.org/officeDocument/2006/customXml" ds:itemID="{74F26C07-AACD-4770-85EB-223C0133C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4.xml><?xml version="1.0" encoding="utf-8"?>
<ds:datastoreItem xmlns:ds="http://schemas.openxmlformats.org/officeDocument/2006/customXml" ds:itemID="{15C4E186-B7E5-47BB-BCC5-7F30E5DC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8685</TotalTime>
  <Pages>3</Pages>
  <Words>661</Words>
  <Characters>4140</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4770</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BEL1845</cp:lastModifiedBy>
  <cp:revision>42</cp:revision>
  <cp:lastPrinted>2010-08-20T08:44:00Z</cp:lastPrinted>
  <dcterms:created xsi:type="dcterms:W3CDTF">2017-02-23T07:51:00Z</dcterms:created>
  <dcterms:modified xsi:type="dcterms:W3CDTF">2019-02-07T13:41:00Z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