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6D422779" w:rsidR="005A195B" w:rsidRPr="00DA38BA" w:rsidRDefault="006D199A" w:rsidP="00A57E8A">
      <w:pPr>
        <w:pStyle w:val="Heading1"/>
      </w:pPr>
      <w:bookmarkStart w:id="0" w:name="_GoBack"/>
      <w:bookmarkEnd w:id="0"/>
      <w:r>
        <w:t>Consult INvolved Member States (Placing Goods Under a CUstoms Procedure, Special Procedures)</w:t>
      </w:r>
    </w:p>
    <w:p w14:paraId="07D20EA9" w14:textId="44938C98" w:rsidR="00667163" w:rsidRDefault="00A57E8A" w:rsidP="00667163">
      <w:pPr>
        <w:pStyle w:val="Heading2"/>
      </w:pPr>
      <w:r>
        <w:t>Stakeholders involved in the Process</w:t>
      </w:r>
    </w:p>
    <w:p w14:paraId="47E32026" w14:textId="0DE37F61" w:rsidR="00667163" w:rsidRDefault="00667163" w:rsidP="0034564C">
      <w:pPr>
        <w:pStyle w:val="ListParagraph"/>
        <w:numPr>
          <w:ilvl w:val="0"/>
          <w:numId w:val="42"/>
        </w:numPr>
        <w:ind w:left="568" w:hanging="284"/>
        <w:contextualSpacing w:val="0"/>
      </w:pPr>
      <w:r>
        <w:t>Decision-</w:t>
      </w:r>
      <w:r w:rsidR="008735DD">
        <w:t>t</w:t>
      </w:r>
      <w:r>
        <w:t xml:space="preserve">aking </w:t>
      </w:r>
      <w:r w:rsidR="008735DD">
        <w:t>c</w:t>
      </w:r>
      <w:r>
        <w:t xml:space="preserve">ustoms </w:t>
      </w:r>
      <w:r w:rsidR="008735DD">
        <w:t>a</w:t>
      </w:r>
      <w:r>
        <w:t>uthority</w:t>
      </w:r>
      <w:r w:rsidR="0034564C">
        <w:t>;</w:t>
      </w:r>
    </w:p>
    <w:p w14:paraId="6F5527BF" w14:textId="4219F531" w:rsidR="00667163" w:rsidRDefault="00D921F3" w:rsidP="0034564C">
      <w:pPr>
        <w:pStyle w:val="ListParagraph"/>
        <w:numPr>
          <w:ilvl w:val="0"/>
          <w:numId w:val="42"/>
        </w:numPr>
        <w:ind w:left="568" w:hanging="284"/>
        <w:contextualSpacing w:val="0"/>
      </w:pPr>
      <w:r>
        <w:t xml:space="preserve">Involved </w:t>
      </w:r>
      <w:r w:rsidR="009C3E76">
        <w:t>m</w:t>
      </w:r>
      <w:r>
        <w:t xml:space="preserve">ember </w:t>
      </w:r>
      <w:r w:rsidR="009C3E76">
        <w:t>s</w:t>
      </w:r>
      <w:r>
        <w:t xml:space="preserve">tates / Consulted </w:t>
      </w:r>
      <w:r w:rsidR="009C3E76">
        <w:t>c</w:t>
      </w:r>
      <w:r>
        <w:t xml:space="preserve">ustoms </w:t>
      </w:r>
      <w:r w:rsidR="009C3E76">
        <w:t>a</w:t>
      </w:r>
      <w:r>
        <w:t>uthorities</w:t>
      </w:r>
      <w:r w:rsidR="0034564C">
        <w:t>.</w:t>
      </w:r>
    </w:p>
    <w:p w14:paraId="30E2B157" w14:textId="77777777" w:rsidR="00667163" w:rsidRDefault="00667163" w:rsidP="00667163">
      <w:pPr>
        <w:pStyle w:val="Heading2"/>
      </w:pPr>
      <w:r>
        <w:t>Business</w:t>
      </w:r>
    </w:p>
    <w:p w14:paraId="03BA201D" w14:textId="3F51C1B8" w:rsidR="00667163" w:rsidRDefault="00667163" w:rsidP="00667163">
      <w:r>
        <w:t xml:space="preserve">The Consult Involved Member States process is part of the </w:t>
      </w:r>
      <w:r w:rsidR="008735DD">
        <w:t>d</w:t>
      </w:r>
      <w:r>
        <w:t>ecision-</w:t>
      </w:r>
      <w:r w:rsidR="008735DD">
        <w:t>t</w:t>
      </w:r>
      <w:r>
        <w:t xml:space="preserve">aking process. </w:t>
      </w:r>
      <w:r>
        <w:fldChar w:fldCharType="begin"/>
      </w:r>
      <w:r>
        <w:instrText xml:space="preserve"> REF _Ref475015953 \h </w:instrText>
      </w:r>
      <w:r>
        <w:fldChar w:fldCharType="separate"/>
      </w:r>
      <w:r w:rsidR="006472CF">
        <w:t xml:space="preserve">Figure </w:t>
      </w:r>
      <w:r w:rsidR="006472CF">
        <w:rPr>
          <w:noProof/>
        </w:rPr>
        <w:t>1</w:t>
      </w:r>
      <w:r>
        <w:fldChar w:fldCharType="end"/>
      </w:r>
      <w:r>
        <w:t xml:space="preserve"> depicts the high-level overview of the </w:t>
      </w:r>
      <w:r w:rsidR="008735DD">
        <w:t>d</w:t>
      </w:r>
      <w:r>
        <w:t>ecision-</w:t>
      </w:r>
      <w:r w:rsidR="008735DD">
        <w:t>t</w:t>
      </w:r>
      <w:r>
        <w:t>aking process. The Consult Involved Member States process is one of the Auxiliary Activities.</w:t>
      </w:r>
    </w:p>
    <w:p w14:paraId="166EB348" w14:textId="77777777" w:rsidR="00667163" w:rsidRDefault="00667163" w:rsidP="00667163"/>
    <w:p w14:paraId="2FE09438" w14:textId="77777777" w:rsidR="00667163" w:rsidRDefault="00667163" w:rsidP="00667163">
      <w:r>
        <w:rPr>
          <w:noProof/>
          <w:lang w:eastAsia="en-GB"/>
        </w:rPr>
        <mc:AlternateContent>
          <mc:Choice Requires="wps">
            <w:drawing>
              <wp:inline distT="0" distB="0" distL="0" distR="0" wp14:anchorId="55A2F19F" wp14:editId="671C5353">
                <wp:extent cx="5748793" cy="2725515"/>
                <wp:effectExtent l="19050" t="19050" r="23495"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2B4280C" w14:textId="78354A12" w:rsidR="007C7EA1" w:rsidRPr="00F201C7" w:rsidRDefault="007C7EA1" w:rsidP="00667163">
                            <w:pPr>
                              <w:spacing w:after="0"/>
                              <w:rPr>
                                <w:color w:val="806000" w:themeColor="accent4" w:themeShade="80"/>
                                <w:sz w:val="18"/>
                              </w:rPr>
                            </w:pPr>
                            <w:r w:rsidRPr="00B0743D">
                              <w:rPr>
                                <w:noProof/>
                                <w:color w:val="806000" w:themeColor="accent4" w:themeShade="80"/>
                                <w:position w:val="-20"/>
                                <w:sz w:val="18"/>
                                <w:szCs w:val="18"/>
                                <w:lang w:eastAsia="en-GB"/>
                              </w:rPr>
                              <w:drawing>
                                <wp:inline distT="0" distB="0" distL="0" distR="0" wp14:anchorId="432BE18A" wp14:editId="057839F6">
                                  <wp:extent cx="360000" cy="360000"/>
                                  <wp:effectExtent l="0" t="0" r="2540" b="2540"/>
                                  <wp:docPr id="3"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60000" cy="360000"/>
                                          </a:xfrm>
                                          <a:prstGeom prst="rect">
                                            <a:avLst/>
                                          </a:prstGeom>
                                        </pic:spPr>
                                      </pic:pic>
                                    </a:graphicData>
                                  </a:graphic>
                                </wp:inline>
                              </w:drawing>
                            </w:r>
                            <w:r w:rsidRPr="00065E98">
                              <w:rPr>
                                <w:color w:val="FFFFFF" w:themeColor="background1"/>
                                <w:sz w:val="18"/>
                              </w:rPr>
                              <w:t xml:space="preserve"> </w:t>
                            </w:r>
                            <w:r>
                              <w:rPr>
                                <w:color w:val="806000" w:themeColor="accent4" w:themeShade="80"/>
                                <w:sz w:val="18"/>
                              </w:rPr>
                              <w:t>Please note that all reference</w:t>
                            </w:r>
                            <w:r w:rsidR="00591CD4">
                              <w:rPr>
                                <w:color w:val="806000" w:themeColor="accent4" w:themeShade="80"/>
                                <w:sz w:val="18"/>
                              </w:rPr>
                              <w:t>s</w:t>
                            </w:r>
                            <w:r>
                              <w:rPr>
                                <w:color w:val="806000" w:themeColor="accent4" w:themeShade="80"/>
                                <w:sz w:val="18"/>
                              </w:rPr>
                              <w:t xml:space="preserve"> to consultation in this </w:t>
                            </w:r>
                            <w:r w:rsidR="007B5E04">
                              <w:rPr>
                                <w:color w:val="806000" w:themeColor="accent4" w:themeShade="80"/>
                                <w:sz w:val="18"/>
                              </w:rPr>
                              <w:t xml:space="preserve">section only </w:t>
                            </w:r>
                            <w:r w:rsidR="00591CD4">
                              <w:rPr>
                                <w:color w:val="806000" w:themeColor="accent4" w:themeShade="80"/>
                                <w:sz w:val="18"/>
                              </w:rPr>
                              <w:t>refer</w:t>
                            </w:r>
                            <w:r>
                              <w:rPr>
                                <w:color w:val="806000" w:themeColor="accent4" w:themeShade="80"/>
                                <w:sz w:val="18"/>
                              </w:rPr>
                              <w:t xml:space="preserve"> to </w:t>
                            </w:r>
                            <w:r w:rsidR="007B5E04">
                              <w:rPr>
                                <w:color w:val="806000" w:themeColor="accent4" w:themeShade="80"/>
                                <w:sz w:val="18"/>
                              </w:rPr>
                              <w:t xml:space="preserve">the authorisation types in </w:t>
                            </w:r>
                            <w:r w:rsidR="00EF773B">
                              <w:rPr>
                                <w:color w:val="806000" w:themeColor="accent4" w:themeShade="80"/>
                                <w:sz w:val="18"/>
                              </w:rPr>
                              <w:t>Placing Goods under a Customs Procedure</w:t>
                            </w:r>
                            <w:r w:rsidR="00FF7DB7">
                              <w:rPr>
                                <w:color w:val="806000" w:themeColor="accent4" w:themeShade="80"/>
                                <w:sz w:val="18"/>
                              </w:rPr>
                              <w:t>, Temporary Storage</w:t>
                            </w:r>
                            <w:r w:rsidR="00EF773B">
                              <w:rPr>
                                <w:color w:val="806000" w:themeColor="accent4" w:themeShade="80"/>
                                <w:sz w:val="18"/>
                              </w:rPr>
                              <w:t xml:space="preserve"> and Special Procedure</w:t>
                            </w:r>
                            <w:r w:rsidR="00FF7DB7">
                              <w:rPr>
                                <w:color w:val="806000" w:themeColor="accent4" w:themeShade="80"/>
                                <w:sz w:val="18"/>
                              </w:rPr>
                              <w:t>s</w:t>
                            </w:r>
                            <w:r w:rsidR="00EF773B">
                              <w:rPr>
                                <w:color w:val="806000" w:themeColor="accent4" w:themeShade="80"/>
                                <w:sz w:val="18"/>
                              </w:rPr>
                              <w:t xml:space="preserve"> </w:t>
                            </w:r>
                            <w:r w:rsidR="007B5E04">
                              <w:rPr>
                                <w:color w:val="806000" w:themeColor="accent4" w:themeShade="80"/>
                                <w:sz w:val="18"/>
                              </w:rPr>
                              <w:t>groups</w:t>
                            </w:r>
                            <w:r w:rsidR="00EF773B">
                              <w:rPr>
                                <w:color w:val="806000" w:themeColor="accent4" w:themeShade="80"/>
                                <w:sz w:val="18"/>
                              </w:rPr>
                              <w:t>.</w:t>
                            </w:r>
                          </w:p>
                        </w:txbxContent>
                      </wps:txbx>
                      <wps:bodyPr rot="0" vert="horz" wrap="square" lIns="90000" tIns="0" rIns="91440" bIns="0" anchor="ctr" anchorCtr="0">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A2F19F" id="Text Box 2" o:spid="_x0000_s1026"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" fillcolor="#ffc000" strokecolor="#ffd966 [1943]" strokeweight="2.25pt">
                <v:stroke joinstyle="miter"/>
                <v:textbox style="mso-fit-shape-to-text:t" inset="2.5mm,0,,0">
                  <w:txbxContent>
                    <w:p w14:paraId="32B4280C" w14:textId="78354A12" w:rsidR="007C7EA1" w:rsidRPr="00F201C7" w:rsidRDefault="007C7EA1" w:rsidP="00667163">
                      <w:pPr>
                        <w:spacing w:after="0"/>
                        <w:rPr>
                          <w:color w:val="806000" w:themeColor="accent4" w:themeShade="80"/>
                          <w:sz w:val="18"/>
                        </w:rPr>
                      </w:pPr>
                      <w:r w:rsidRPr="00B0743D">
                        <w:rPr>
                          <w:noProof/>
                          <w:color w:val="806000" w:themeColor="accent4" w:themeShade="80"/>
                          <w:position w:val="-20"/>
                          <w:sz w:val="18"/>
                          <w:szCs w:val="18"/>
                          <w:lang w:eastAsia="en-GB"/>
                        </w:rPr>
                        <w:drawing>
                          <wp:inline distT="0" distB="0" distL="0" distR="0" wp14:anchorId="432BE18A" wp14:editId="057839F6">
                            <wp:extent cx="360000" cy="360000"/>
                            <wp:effectExtent l="0" t="0" r="2540" b="2540"/>
                            <wp:docPr id="3"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sidRPr="00065E98">
                        <w:rPr>
                          <w:color w:val="FFFFFF" w:themeColor="background1"/>
                          <w:sz w:val="18"/>
                        </w:rPr>
                        <w:t xml:space="preserve"> </w:t>
                      </w:r>
                      <w:r>
                        <w:rPr>
                          <w:color w:val="806000" w:themeColor="accent4" w:themeShade="80"/>
                          <w:sz w:val="18"/>
                        </w:rPr>
                        <w:t>Please note that all reference</w:t>
                      </w:r>
                      <w:r w:rsidR="00591CD4">
                        <w:rPr>
                          <w:color w:val="806000" w:themeColor="accent4" w:themeShade="80"/>
                          <w:sz w:val="18"/>
                        </w:rPr>
                        <w:t>s</w:t>
                      </w:r>
                      <w:r>
                        <w:rPr>
                          <w:color w:val="806000" w:themeColor="accent4" w:themeShade="80"/>
                          <w:sz w:val="18"/>
                        </w:rPr>
                        <w:t xml:space="preserve"> to consultation in this </w:t>
                      </w:r>
                      <w:r w:rsidR="007B5E04">
                        <w:rPr>
                          <w:color w:val="806000" w:themeColor="accent4" w:themeShade="80"/>
                          <w:sz w:val="18"/>
                        </w:rPr>
                        <w:t xml:space="preserve">section only </w:t>
                      </w:r>
                      <w:r w:rsidR="00591CD4">
                        <w:rPr>
                          <w:color w:val="806000" w:themeColor="accent4" w:themeShade="80"/>
                          <w:sz w:val="18"/>
                        </w:rPr>
                        <w:t>refer</w:t>
                      </w:r>
                      <w:r>
                        <w:rPr>
                          <w:color w:val="806000" w:themeColor="accent4" w:themeShade="80"/>
                          <w:sz w:val="18"/>
                        </w:rPr>
                        <w:t xml:space="preserve"> to </w:t>
                      </w:r>
                      <w:r w:rsidR="007B5E04">
                        <w:rPr>
                          <w:color w:val="806000" w:themeColor="accent4" w:themeShade="80"/>
                          <w:sz w:val="18"/>
                        </w:rPr>
                        <w:t xml:space="preserve">the authorisation types in </w:t>
                      </w:r>
                      <w:r w:rsidR="00EF773B">
                        <w:rPr>
                          <w:color w:val="806000" w:themeColor="accent4" w:themeShade="80"/>
                          <w:sz w:val="18"/>
                        </w:rPr>
                        <w:t>Placing Goods under a Customs Procedure</w:t>
                      </w:r>
                      <w:r w:rsidR="00FF7DB7">
                        <w:rPr>
                          <w:color w:val="806000" w:themeColor="accent4" w:themeShade="80"/>
                          <w:sz w:val="18"/>
                        </w:rPr>
                        <w:t>, Temporary Storage</w:t>
                      </w:r>
                      <w:r w:rsidR="00EF773B">
                        <w:rPr>
                          <w:color w:val="806000" w:themeColor="accent4" w:themeShade="80"/>
                          <w:sz w:val="18"/>
                        </w:rPr>
                        <w:t xml:space="preserve"> and Special Procedure</w:t>
                      </w:r>
                      <w:r w:rsidR="00FF7DB7">
                        <w:rPr>
                          <w:color w:val="806000" w:themeColor="accent4" w:themeShade="80"/>
                          <w:sz w:val="18"/>
                        </w:rPr>
                        <w:t>s</w:t>
                      </w:r>
                      <w:r w:rsidR="00EF773B">
                        <w:rPr>
                          <w:color w:val="806000" w:themeColor="accent4" w:themeShade="80"/>
                          <w:sz w:val="18"/>
                        </w:rPr>
                        <w:t xml:space="preserve"> </w:t>
                      </w:r>
                      <w:r w:rsidR="007B5E04">
                        <w:rPr>
                          <w:color w:val="806000" w:themeColor="accent4" w:themeShade="80"/>
                          <w:sz w:val="18"/>
                        </w:rPr>
                        <w:t>groups</w:t>
                      </w:r>
                      <w:r w:rsidR="00EF773B">
                        <w:rPr>
                          <w:color w:val="806000" w:themeColor="accent4" w:themeShade="80"/>
                          <w:sz w:val="18"/>
                        </w:rPr>
                        <w:t>.</w:t>
                      </w:r>
                    </w:p>
                  </w:txbxContent>
                </v:textbox>
                <w10:anchorlock/>
              </v:roundrect>
            </w:pict>
          </mc:Fallback>
        </mc:AlternateContent>
      </w:r>
    </w:p>
    <w:p w14:paraId="6BDDAAEF" w14:textId="3110775A" w:rsidR="00667163" w:rsidRDefault="009B1203" w:rsidP="00667163">
      <w:pPr>
        <w:keepNext/>
        <w:jc w:val="center"/>
      </w:pPr>
      <w:r>
        <w:object w:dxaOrig="8475" w:dyaOrig="3960" w14:anchorId="50719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98pt" o:ole="">
            <v:imagedata r:id="rId15" o:title=""/>
          </v:shape>
          <o:OLEObject Type="Embed" ProgID="Visio.Drawing.11" ShapeID="_x0000_i1025" DrawAspect="Content" ObjectID="_1603285909" r:id="rId16"/>
        </w:object>
      </w:r>
    </w:p>
    <w:p w14:paraId="31F383E4" w14:textId="09DE7424" w:rsidR="00667163" w:rsidRDefault="00667163" w:rsidP="00667163">
      <w:pPr>
        <w:pStyle w:val="Caption"/>
      </w:pPr>
      <w:bookmarkStart w:id="1" w:name="_Ref475015953"/>
      <w:r>
        <w:t xml:space="preserve">Figure </w:t>
      </w:r>
      <w:r w:rsidR="001C5996">
        <w:fldChar w:fldCharType="begin"/>
      </w:r>
      <w:r w:rsidR="001C5996">
        <w:instrText xml:space="preserve"> SEQ Figure \* ARABIC </w:instrText>
      </w:r>
      <w:r w:rsidR="001C5996">
        <w:fldChar w:fldCharType="separate"/>
      </w:r>
      <w:r w:rsidR="006472CF">
        <w:rPr>
          <w:noProof/>
        </w:rPr>
        <w:t>1</w:t>
      </w:r>
      <w:r w:rsidR="001C5996">
        <w:rPr>
          <w:noProof/>
        </w:rPr>
        <w:fldChar w:fldCharType="end"/>
      </w:r>
      <w:bookmarkEnd w:id="1"/>
      <w:r>
        <w:t xml:space="preserve"> </w:t>
      </w:r>
      <w:r w:rsidRPr="00F57EFC">
        <w:t>High level overview of the Take Decision Process</w:t>
      </w:r>
    </w:p>
    <w:p w14:paraId="50058CB3" w14:textId="77777777" w:rsidR="00667163" w:rsidRDefault="00667163" w:rsidP="00DA38BA"/>
    <w:p w14:paraId="71A0B3AA" w14:textId="121C4C74" w:rsidR="00667163" w:rsidRDefault="00415ADB" w:rsidP="00DA38BA">
      <w:r>
        <w:t>When there are one or more member states involved into the customs decision (in addition to the DTCA)</w:t>
      </w:r>
      <w:r w:rsidR="00667163">
        <w:t xml:space="preserve">, the customs officer </w:t>
      </w:r>
      <w:r w:rsidR="00841FAD">
        <w:t>can</w:t>
      </w:r>
      <w:r w:rsidR="00667163">
        <w:t xml:space="preserve"> request verification of the draft authorisation </w:t>
      </w:r>
      <w:r>
        <w:t>by</w:t>
      </w:r>
      <w:r w:rsidR="00667163">
        <w:t xml:space="preserve"> the involved member state</w:t>
      </w:r>
      <w:r w:rsidR="00591CD4">
        <w:t>(s)</w:t>
      </w:r>
      <w:r w:rsidR="00667163">
        <w:t xml:space="preserve">. </w:t>
      </w:r>
      <w:r>
        <w:t>The involved member states are the ones defined by the applicant, in the customs decision application under data element “Geographical Validity”. The member states to be consulted need to be selected by the customs officer amongst the list of involved member states</w:t>
      </w:r>
      <w:r w:rsidR="00E41ED1">
        <w:t>.</w:t>
      </w:r>
    </w:p>
    <w:p w14:paraId="36864899" w14:textId="1F846576" w:rsidR="00D81BFC" w:rsidRDefault="00412BCD" w:rsidP="00DA38BA">
      <w:r>
        <w:lastRenderedPageBreak/>
        <w:fldChar w:fldCharType="begin"/>
      </w:r>
      <w:r>
        <w:instrText xml:space="preserve"> REF _Ref475970119 \h </w:instrText>
      </w:r>
      <w:r>
        <w:fldChar w:fldCharType="separate"/>
      </w:r>
      <w:r w:rsidR="006472CF">
        <w:t xml:space="preserve">Figure </w:t>
      </w:r>
      <w:r w:rsidR="006472CF">
        <w:rPr>
          <w:noProof/>
        </w:rPr>
        <w:t>2</w:t>
      </w:r>
      <w:r>
        <w:fldChar w:fldCharType="end"/>
      </w:r>
      <w:r w:rsidR="00D81BFC">
        <w:t xml:space="preserve"> presents the high-level overview of the Consult Involved Member States process.</w:t>
      </w:r>
    </w:p>
    <w:p w14:paraId="589BF963" w14:textId="77777777" w:rsidR="00D81BFC" w:rsidRDefault="00D81BFC" w:rsidP="00DA38BA"/>
    <w:p w14:paraId="0E652279" w14:textId="74150BBF" w:rsidR="00412BCD" w:rsidRDefault="009B1203" w:rsidP="00412BCD">
      <w:pPr>
        <w:keepNext/>
        <w:jc w:val="center"/>
      </w:pPr>
      <w:r>
        <w:object w:dxaOrig="8475" w:dyaOrig="5258" w14:anchorId="47CB451E">
          <v:shape id="_x0000_i1026" type="#_x0000_t75" style="width:423.75pt;height:262.9pt" o:ole="">
            <v:imagedata r:id="rId17" o:title=""/>
          </v:shape>
          <o:OLEObject Type="Embed" ProgID="Visio.Drawing.11" ShapeID="_x0000_i1026" DrawAspect="Content" ObjectID="_1603285910" r:id="rId18"/>
        </w:object>
      </w:r>
    </w:p>
    <w:p w14:paraId="5DF927BC" w14:textId="32AE8ACD" w:rsidR="00D81BFC" w:rsidRDefault="00412BCD" w:rsidP="00412BCD">
      <w:pPr>
        <w:pStyle w:val="Caption"/>
      </w:pPr>
      <w:bookmarkStart w:id="2" w:name="_Ref475970119"/>
      <w:r>
        <w:t xml:space="preserve">Figure </w:t>
      </w:r>
      <w:r w:rsidR="001C5996">
        <w:fldChar w:fldCharType="begin"/>
      </w:r>
      <w:r w:rsidR="001C5996">
        <w:instrText xml:space="preserve"> SEQ Figure \* ARABIC </w:instrText>
      </w:r>
      <w:r w:rsidR="001C5996">
        <w:fldChar w:fldCharType="separate"/>
      </w:r>
      <w:r w:rsidR="006472CF">
        <w:rPr>
          <w:noProof/>
        </w:rPr>
        <w:t>2</w:t>
      </w:r>
      <w:r w:rsidR="001C5996">
        <w:rPr>
          <w:noProof/>
        </w:rPr>
        <w:fldChar w:fldCharType="end"/>
      </w:r>
      <w:bookmarkEnd w:id="2"/>
      <w:r w:rsidRPr="00A73A58">
        <w:t xml:space="preserve"> High level overview of the Consult Involved Member States process</w:t>
      </w:r>
    </w:p>
    <w:p w14:paraId="2F21FE99" w14:textId="77777777" w:rsidR="004E1582" w:rsidRDefault="004E1582" w:rsidP="004E1582"/>
    <w:p w14:paraId="7A0ED5C5" w14:textId="49282BE2" w:rsidR="00D57890" w:rsidRDefault="00D57890" w:rsidP="004E1582">
      <w:r>
        <w:t>The process starts differently for t</w:t>
      </w:r>
      <w:r w:rsidR="00415ADB">
        <w:t>he aforementioned authorisation types</w:t>
      </w:r>
      <w:r>
        <w:t>:</w:t>
      </w:r>
    </w:p>
    <w:p w14:paraId="37AE9497" w14:textId="6E6FDC6D" w:rsidR="00D57890" w:rsidRDefault="00D57890" w:rsidP="00AA080E">
      <w:pPr>
        <w:pStyle w:val="ListParagraph"/>
        <w:numPr>
          <w:ilvl w:val="0"/>
          <w:numId w:val="44"/>
        </w:numPr>
        <w:ind w:left="568" w:hanging="284"/>
        <w:contextualSpacing w:val="0"/>
      </w:pPr>
      <w:r w:rsidRPr="00415ADB">
        <w:rPr>
          <w:b/>
        </w:rPr>
        <w:t>Placing Goods Under a Customs Procedure and Temporary Storage</w:t>
      </w:r>
      <w:r>
        <w:t xml:space="preserve"> – the customs officer registers, which me</w:t>
      </w:r>
      <w:r w:rsidR="00415ADB">
        <w:t>mber states are to be consulted;</w:t>
      </w:r>
    </w:p>
    <w:p w14:paraId="78A93134" w14:textId="52DE787C" w:rsidR="00D57890" w:rsidRDefault="00D57890" w:rsidP="00AA080E">
      <w:pPr>
        <w:pStyle w:val="ListParagraph"/>
        <w:numPr>
          <w:ilvl w:val="0"/>
          <w:numId w:val="44"/>
        </w:numPr>
        <w:ind w:left="568" w:hanging="284"/>
        <w:contextualSpacing w:val="0"/>
      </w:pPr>
      <w:r w:rsidRPr="00415ADB">
        <w:rPr>
          <w:b/>
        </w:rPr>
        <w:t>Special Procedures and Storage Facilities</w:t>
      </w:r>
      <w:r w:rsidR="007B5E04">
        <w:t xml:space="preserve"> –</w:t>
      </w:r>
      <w:r>
        <w:t xml:space="preserve"> the customs officer registers for each involved member state whether it has been agreed to replace </w:t>
      </w:r>
      <w:r w:rsidR="00E41ED1">
        <w:t xml:space="preserve">the </w:t>
      </w:r>
      <w:r>
        <w:t xml:space="preserve">prior agreement and information to be supplied or whether there is </w:t>
      </w:r>
      <w:r w:rsidR="00E41ED1">
        <w:t xml:space="preserve">an </w:t>
      </w:r>
      <w:r>
        <w:t>agreement not to proceed with con</w:t>
      </w:r>
      <w:r w:rsidR="00415ADB">
        <w:t>sultation. The following</w:t>
      </w:r>
      <w:r>
        <w:t xml:space="preserve"> </w:t>
      </w:r>
      <w:r w:rsidR="00415ADB">
        <w:t xml:space="preserve">outcomes are </w:t>
      </w:r>
      <w:r>
        <w:t>possible:</w:t>
      </w:r>
    </w:p>
    <w:p w14:paraId="75C003DE" w14:textId="0129CB08" w:rsidR="00D57890" w:rsidRDefault="00D57890" w:rsidP="00AA080E">
      <w:pPr>
        <w:pStyle w:val="ListParagraph"/>
        <w:numPr>
          <w:ilvl w:val="1"/>
          <w:numId w:val="44"/>
        </w:numPr>
        <w:ind w:left="1361" w:hanging="284"/>
        <w:contextualSpacing w:val="0"/>
      </w:pPr>
      <w:r>
        <w:t xml:space="preserve">For each member state where it has been agreed to replace </w:t>
      </w:r>
      <w:r w:rsidR="00E41ED1">
        <w:t xml:space="preserve">the </w:t>
      </w:r>
      <w:r>
        <w:t>prior agreement and information to be supplied, a simple notification of the "to be" authorisation will be sent to them</w:t>
      </w:r>
      <w:r w:rsidR="008F6A1F">
        <w:t xml:space="preserve"> and no </w:t>
      </w:r>
      <w:r w:rsidR="00415ADB">
        <w:t xml:space="preserve">further </w:t>
      </w:r>
      <w:r w:rsidR="008F6A1F">
        <w:t>consultation is needed</w:t>
      </w:r>
      <w:r>
        <w:t>;</w:t>
      </w:r>
    </w:p>
    <w:p w14:paraId="62615927" w14:textId="183FAAA9" w:rsidR="00D57890" w:rsidRDefault="00D57890" w:rsidP="00AA080E">
      <w:pPr>
        <w:pStyle w:val="ListParagraph"/>
        <w:numPr>
          <w:ilvl w:val="1"/>
          <w:numId w:val="44"/>
        </w:numPr>
        <w:ind w:left="1361" w:hanging="284"/>
        <w:contextualSpacing w:val="0"/>
      </w:pPr>
      <w:r>
        <w:t xml:space="preserve">For each </w:t>
      </w:r>
      <w:r w:rsidR="008F6A1F">
        <w:t>member state</w:t>
      </w:r>
      <w:r>
        <w:t xml:space="preserve"> where it has been agreed not to consult, the process will end;</w:t>
      </w:r>
    </w:p>
    <w:p w14:paraId="6653A48D" w14:textId="37D43767" w:rsidR="00D57890" w:rsidRDefault="008F6A1F" w:rsidP="00AA080E">
      <w:pPr>
        <w:pStyle w:val="ListParagraph"/>
        <w:numPr>
          <w:ilvl w:val="1"/>
          <w:numId w:val="44"/>
        </w:numPr>
        <w:ind w:left="1361" w:hanging="284"/>
        <w:contextualSpacing w:val="0"/>
      </w:pPr>
      <w:r>
        <w:t>For each other member state that is</w:t>
      </w:r>
      <w:r w:rsidR="00D57890">
        <w:t xml:space="preserve"> to be consulted, the process will continue.</w:t>
      </w:r>
    </w:p>
    <w:p w14:paraId="46310002" w14:textId="05FC2E22" w:rsidR="004E1582" w:rsidRDefault="008F6A1F" w:rsidP="004E1582">
      <w:r>
        <w:t>If the consultation process continues, t</w:t>
      </w:r>
      <w:r w:rsidR="00412BCD">
        <w:t xml:space="preserve">he </w:t>
      </w:r>
      <w:r w:rsidR="004E1582">
        <w:t xml:space="preserve">customs officer requests </w:t>
      </w:r>
      <w:r w:rsidR="00412BCD">
        <w:t>the involved member states</w:t>
      </w:r>
      <w:r w:rsidR="004E1582">
        <w:t xml:space="preserve"> to approve the draft authorisation</w:t>
      </w:r>
      <w:r w:rsidR="00FF7DB7">
        <w:t xml:space="preserve"> or to send back objections on it</w:t>
      </w:r>
      <w:r w:rsidR="004E1582">
        <w:t>.</w:t>
      </w:r>
      <w:r w:rsidR="00CD6DEB">
        <w:t xml:space="preserve"> </w:t>
      </w:r>
      <w:r w:rsidR="004E1582">
        <w:t xml:space="preserve">The </w:t>
      </w:r>
      <w:r w:rsidR="00CD6DEB">
        <w:t xml:space="preserve">consultation </w:t>
      </w:r>
      <w:r w:rsidR="004E1582">
        <w:t xml:space="preserve">request submitted to </w:t>
      </w:r>
      <w:r w:rsidR="00E41ED1">
        <w:t xml:space="preserve">the </w:t>
      </w:r>
      <w:r w:rsidR="00473C0F">
        <w:t>customs officer of the consulted</w:t>
      </w:r>
      <w:r w:rsidR="004E1582">
        <w:t xml:space="preserve"> member state(s) contains the following </w:t>
      </w:r>
      <w:r w:rsidR="00415ADB">
        <w:t xml:space="preserve">elements </w:t>
      </w:r>
      <w:r w:rsidR="004E1582">
        <w:t xml:space="preserve">(but not limited to): </w:t>
      </w:r>
    </w:p>
    <w:p w14:paraId="3CA015EC" w14:textId="5D82D84E" w:rsidR="00EE35D0" w:rsidRDefault="00FF7DB7" w:rsidP="00AA080E">
      <w:pPr>
        <w:pStyle w:val="ListParagraph"/>
        <w:numPr>
          <w:ilvl w:val="0"/>
          <w:numId w:val="43"/>
        </w:numPr>
        <w:ind w:left="568" w:hanging="284"/>
        <w:contextualSpacing w:val="0"/>
      </w:pPr>
      <w:r>
        <w:t xml:space="preserve">Accepted </w:t>
      </w:r>
      <w:r w:rsidR="00EE35D0">
        <w:t>application;</w:t>
      </w:r>
    </w:p>
    <w:p w14:paraId="606F8354" w14:textId="15FFD273" w:rsidR="004E1582" w:rsidRDefault="004E1582" w:rsidP="00AA080E">
      <w:pPr>
        <w:pStyle w:val="ListParagraph"/>
        <w:numPr>
          <w:ilvl w:val="0"/>
          <w:numId w:val="43"/>
        </w:numPr>
        <w:ind w:left="568" w:hanging="284"/>
        <w:contextualSpacing w:val="0"/>
      </w:pPr>
      <w:r>
        <w:t>Draft authorisation</w:t>
      </w:r>
      <w:r w:rsidR="00EE35D0">
        <w:t>;</w:t>
      </w:r>
    </w:p>
    <w:p w14:paraId="1D30A41C" w14:textId="6979F95D" w:rsidR="00EE35D0" w:rsidRDefault="00EE35D0" w:rsidP="00AA080E">
      <w:pPr>
        <w:pStyle w:val="ListParagraph"/>
        <w:numPr>
          <w:ilvl w:val="0"/>
          <w:numId w:val="43"/>
        </w:numPr>
        <w:ind w:left="568" w:hanging="284"/>
        <w:contextualSpacing w:val="0"/>
      </w:pPr>
      <w:r>
        <w:t>Control plan, if applicable;</w:t>
      </w:r>
    </w:p>
    <w:p w14:paraId="0133F0AE" w14:textId="70FE413A" w:rsidR="00F27B5E" w:rsidRPr="00F27B5E" w:rsidRDefault="00EE35D0" w:rsidP="00AA080E">
      <w:pPr>
        <w:pStyle w:val="ListParagraph"/>
        <w:numPr>
          <w:ilvl w:val="0"/>
          <w:numId w:val="43"/>
        </w:numPr>
        <w:ind w:left="568" w:hanging="284"/>
        <w:contextualSpacing w:val="0"/>
      </w:pPr>
      <w:r>
        <w:t>Time limit to provide the agreement or objections on the draft authorisation.</w:t>
      </w:r>
    </w:p>
    <w:p w14:paraId="4846D905" w14:textId="7018B2AC" w:rsidR="00EE35D0" w:rsidRDefault="00F27B5E" w:rsidP="00EE35D0">
      <w:r>
        <w:lastRenderedPageBreak/>
        <w:t xml:space="preserve">The customs officer of the consulted member state </w:t>
      </w:r>
      <w:r w:rsidR="00415ADB">
        <w:t>needs</w:t>
      </w:r>
      <w:r>
        <w:t xml:space="preserve"> to provide the agreement </w:t>
      </w:r>
      <w:r w:rsidR="00D04650">
        <w:t xml:space="preserve">or the objections </w:t>
      </w:r>
      <w:r w:rsidR="00591CD4">
        <w:t>on the draft authorisation</w:t>
      </w:r>
      <w:r>
        <w:t xml:space="preserve"> within a specific time limit. </w:t>
      </w:r>
      <w:r w:rsidR="00EE35D0">
        <w:t xml:space="preserve">The time limit to provide agreement or objections on the draft authorisation </w:t>
      </w:r>
      <w:r w:rsidR="00415ADB">
        <w:t xml:space="preserve">is legally defined and </w:t>
      </w:r>
      <w:r w:rsidR="00EE35D0">
        <w:t xml:space="preserve">varies </w:t>
      </w:r>
      <w:r>
        <w:t>on</w:t>
      </w:r>
      <w:r w:rsidR="00EE35D0">
        <w:t xml:space="preserve"> authorisation type</w:t>
      </w:r>
      <w:r>
        <w:t xml:space="preserve"> as depicted in </w:t>
      </w:r>
      <w:r>
        <w:fldChar w:fldCharType="begin"/>
      </w:r>
      <w:r>
        <w:instrText xml:space="preserve"> REF _Ref475533943 \h </w:instrText>
      </w:r>
      <w:r>
        <w:fldChar w:fldCharType="separate"/>
      </w:r>
      <w:r w:rsidR="006472CF">
        <w:t xml:space="preserve">Table </w:t>
      </w:r>
      <w:r w:rsidR="006472CF">
        <w:rPr>
          <w:noProof/>
        </w:rPr>
        <w:t>1</w:t>
      </w:r>
      <w:r>
        <w:fldChar w:fldCharType="end"/>
      </w:r>
      <w:r w:rsidR="00EE35D0">
        <w:t xml:space="preserve">. </w:t>
      </w:r>
    </w:p>
    <w:tbl>
      <w:tblPr>
        <w:tblStyle w:val="GridTable5Dark-Accent41"/>
        <w:tblW w:w="0" w:type="auto"/>
        <w:jc w:val="center"/>
        <w:tblLook w:val="0420" w:firstRow="1" w:lastRow="0" w:firstColumn="0" w:lastColumn="0" w:noHBand="0" w:noVBand="1"/>
      </w:tblPr>
      <w:tblGrid>
        <w:gridCol w:w="5561"/>
        <w:gridCol w:w="3008"/>
      </w:tblGrid>
      <w:tr w:rsidR="00EE35D0" w14:paraId="5466B976" w14:textId="77777777" w:rsidTr="00F27B5E">
        <w:trPr>
          <w:cnfStyle w:val="100000000000" w:firstRow="1" w:lastRow="0" w:firstColumn="0" w:lastColumn="0" w:oddVBand="0" w:evenVBand="0" w:oddHBand="0" w:evenHBand="0" w:firstRowFirstColumn="0" w:firstRowLastColumn="0" w:lastRowFirstColumn="0" w:lastRowLastColumn="0"/>
          <w:jc w:val="center"/>
        </w:trPr>
        <w:tc>
          <w:tcPr>
            <w:tcW w:w="5561" w:type="dxa"/>
          </w:tcPr>
          <w:p w14:paraId="42B40F2C" w14:textId="77777777" w:rsidR="00EE35D0" w:rsidRDefault="00EE35D0" w:rsidP="001E6829">
            <w:pPr>
              <w:keepNext/>
              <w:spacing w:before="120"/>
              <w:jc w:val="left"/>
            </w:pPr>
            <w:r>
              <w:t>Authorisation Type</w:t>
            </w:r>
          </w:p>
        </w:tc>
        <w:tc>
          <w:tcPr>
            <w:tcW w:w="3008" w:type="dxa"/>
            <w:vAlign w:val="center"/>
          </w:tcPr>
          <w:p w14:paraId="10B6EB1F" w14:textId="662E7D0C" w:rsidR="00EE35D0" w:rsidRDefault="00EE35D0" w:rsidP="001E6829">
            <w:pPr>
              <w:keepNext/>
              <w:spacing w:before="120"/>
              <w:jc w:val="center"/>
            </w:pPr>
            <w:r>
              <w:t>Time Limit to provide agreement/objections</w:t>
            </w:r>
            <w:r w:rsidR="00F27B5E">
              <w:t xml:space="preserve"> </w:t>
            </w:r>
            <w:r>
              <w:t>(days)</w:t>
            </w:r>
          </w:p>
        </w:tc>
      </w:tr>
      <w:tr w:rsidR="00EE35D0" w14:paraId="024F6B17" w14:textId="77777777" w:rsidTr="007C7EA1">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11D06215" w14:textId="77777777" w:rsidR="00EE35D0" w:rsidRPr="00E75DB3" w:rsidRDefault="00EE35D0" w:rsidP="001E6829">
            <w:pPr>
              <w:keepNext/>
              <w:spacing w:before="60" w:after="60"/>
              <w:jc w:val="left"/>
              <w:rPr>
                <w:b/>
              </w:rPr>
            </w:pPr>
            <w:r>
              <w:rPr>
                <w:b/>
              </w:rPr>
              <w:t>Placing Goods under a Customs Procedure and Temporary Storage</w:t>
            </w:r>
          </w:p>
        </w:tc>
      </w:tr>
      <w:tr w:rsidR="00EE35D0" w14:paraId="46FA139B" w14:textId="77777777" w:rsidTr="00F27B5E">
        <w:trPr>
          <w:jc w:val="center"/>
        </w:trPr>
        <w:tc>
          <w:tcPr>
            <w:tcW w:w="5561" w:type="dxa"/>
          </w:tcPr>
          <w:p w14:paraId="3199988E" w14:textId="4488C9EC" w:rsidR="00EE35D0" w:rsidRPr="00E75DB3" w:rsidRDefault="00543598" w:rsidP="001E6829">
            <w:pPr>
              <w:keepNext/>
              <w:spacing w:before="60" w:after="60"/>
              <w:jc w:val="left"/>
            </w:pPr>
            <w:r>
              <w:t xml:space="preserve">        </w:t>
            </w:r>
            <w:r w:rsidR="00EE35D0" w:rsidRPr="00AE59C9">
              <w:t>Authorisation for centralised clearance</w:t>
            </w:r>
          </w:p>
        </w:tc>
        <w:tc>
          <w:tcPr>
            <w:tcW w:w="3008" w:type="dxa"/>
          </w:tcPr>
          <w:p w14:paraId="6C7E5E71" w14:textId="6F847512" w:rsidR="00EE35D0" w:rsidRDefault="00EE35D0" w:rsidP="001E6829">
            <w:pPr>
              <w:keepNext/>
              <w:spacing w:before="60" w:after="60"/>
              <w:jc w:val="center"/>
            </w:pPr>
            <w:r>
              <w:t>45</w:t>
            </w:r>
          </w:p>
        </w:tc>
      </w:tr>
      <w:tr w:rsidR="00EE35D0" w14:paraId="4FF4F34D" w14:textId="77777777" w:rsidTr="00F27B5E">
        <w:trPr>
          <w:cnfStyle w:val="000000100000" w:firstRow="0" w:lastRow="0" w:firstColumn="0" w:lastColumn="0" w:oddVBand="0" w:evenVBand="0" w:oddHBand="1" w:evenHBand="0" w:firstRowFirstColumn="0" w:firstRowLastColumn="0" w:lastRowFirstColumn="0" w:lastRowLastColumn="0"/>
          <w:jc w:val="center"/>
        </w:trPr>
        <w:tc>
          <w:tcPr>
            <w:tcW w:w="5561" w:type="dxa"/>
          </w:tcPr>
          <w:p w14:paraId="02CEF336" w14:textId="68958E50" w:rsidR="00EE35D0" w:rsidRPr="00E75DB3" w:rsidRDefault="00543598" w:rsidP="001E6829">
            <w:pPr>
              <w:keepNext/>
              <w:spacing w:before="60" w:after="60"/>
              <w:jc w:val="left"/>
            </w:pPr>
            <w:r>
              <w:t xml:space="preserve">        All the other authorisations</w:t>
            </w:r>
          </w:p>
        </w:tc>
        <w:tc>
          <w:tcPr>
            <w:tcW w:w="3008" w:type="dxa"/>
          </w:tcPr>
          <w:p w14:paraId="5855002F" w14:textId="4E6DA62C" w:rsidR="00EE35D0" w:rsidRDefault="00EE35D0" w:rsidP="001E6829">
            <w:pPr>
              <w:keepNext/>
              <w:spacing w:before="60" w:after="60"/>
              <w:jc w:val="center"/>
            </w:pPr>
            <w:r w:rsidRPr="00154728">
              <w:t>30</w:t>
            </w:r>
          </w:p>
        </w:tc>
      </w:tr>
      <w:tr w:rsidR="00EE35D0" w14:paraId="16C044A9" w14:textId="77777777" w:rsidTr="00F27B5E">
        <w:trPr>
          <w:jc w:val="center"/>
        </w:trPr>
        <w:tc>
          <w:tcPr>
            <w:tcW w:w="5561" w:type="dxa"/>
            <w:vAlign w:val="center"/>
          </w:tcPr>
          <w:p w14:paraId="529703A3" w14:textId="77777777" w:rsidR="00EE35D0" w:rsidRPr="00E75DB3" w:rsidRDefault="00EE35D0" w:rsidP="001E6829">
            <w:pPr>
              <w:keepNext/>
              <w:spacing w:before="60" w:after="60"/>
              <w:jc w:val="left"/>
              <w:rPr>
                <w:b/>
              </w:rPr>
            </w:pPr>
            <w:r>
              <w:rPr>
                <w:b/>
              </w:rPr>
              <w:t>Special Procedures</w:t>
            </w:r>
          </w:p>
        </w:tc>
        <w:tc>
          <w:tcPr>
            <w:tcW w:w="3008" w:type="dxa"/>
          </w:tcPr>
          <w:p w14:paraId="0673779C" w14:textId="58A6B759" w:rsidR="00EE35D0" w:rsidRPr="00E75DB3" w:rsidRDefault="00EE35D0" w:rsidP="001E6829">
            <w:pPr>
              <w:keepNext/>
              <w:spacing w:before="60" w:after="60"/>
              <w:jc w:val="center"/>
              <w:rPr>
                <w:b/>
              </w:rPr>
            </w:pPr>
          </w:p>
        </w:tc>
      </w:tr>
      <w:tr w:rsidR="00EE35D0" w14:paraId="3C5A9AF5" w14:textId="77777777" w:rsidTr="00F27B5E">
        <w:trPr>
          <w:cnfStyle w:val="000000100000" w:firstRow="0" w:lastRow="0" w:firstColumn="0" w:lastColumn="0" w:oddVBand="0" w:evenVBand="0" w:oddHBand="1" w:evenHBand="0" w:firstRowFirstColumn="0" w:firstRowLastColumn="0" w:lastRowFirstColumn="0" w:lastRowLastColumn="0"/>
          <w:jc w:val="center"/>
        </w:trPr>
        <w:tc>
          <w:tcPr>
            <w:tcW w:w="5561" w:type="dxa"/>
          </w:tcPr>
          <w:p w14:paraId="6916C894" w14:textId="1CB46629" w:rsidR="00EE35D0" w:rsidRPr="00E75DB3" w:rsidRDefault="00543598" w:rsidP="001E6829">
            <w:pPr>
              <w:keepNext/>
              <w:spacing w:before="60" w:after="60"/>
              <w:jc w:val="left"/>
            </w:pPr>
            <w:r>
              <w:t xml:space="preserve">        All authorisations</w:t>
            </w:r>
          </w:p>
        </w:tc>
        <w:tc>
          <w:tcPr>
            <w:tcW w:w="3008" w:type="dxa"/>
          </w:tcPr>
          <w:p w14:paraId="2A19D705" w14:textId="5D607895" w:rsidR="00EE35D0" w:rsidRDefault="00EE35D0" w:rsidP="0068257C">
            <w:pPr>
              <w:keepNext/>
              <w:spacing w:before="60" w:after="60"/>
              <w:jc w:val="center"/>
            </w:pPr>
            <w:r w:rsidRPr="00154728">
              <w:t>30</w:t>
            </w:r>
          </w:p>
        </w:tc>
      </w:tr>
    </w:tbl>
    <w:p w14:paraId="5C26A645" w14:textId="5A7195C7" w:rsidR="00F27B5E" w:rsidRDefault="00F27B5E">
      <w:pPr>
        <w:pStyle w:val="Caption"/>
      </w:pPr>
      <w:bookmarkStart w:id="3" w:name="_Ref475533943"/>
      <w:r>
        <w:t xml:space="preserve">Table </w:t>
      </w:r>
      <w:r w:rsidR="001C5996">
        <w:fldChar w:fldCharType="begin"/>
      </w:r>
      <w:r w:rsidR="001C5996">
        <w:instrText xml:space="preserve"> SEQ Table \* ARABIC </w:instrText>
      </w:r>
      <w:r w:rsidR="001C5996">
        <w:fldChar w:fldCharType="separate"/>
      </w:r>
      <w:r w:rsidR="006472CF">
        <w:rPr>
          <w:noProof/>
        </w:rPr>
        <w:t>1</w:t>
      </w:r>
      <w:r w:rsidR="001C5996">
        <w:rPr>
          <w:noProof/>
        </w:rPr>
        <w:fldChar w:fldCharType="end"/>
      </w:r>
      <w:bookmarkEnd w:id="3"/>
      <w:r>
        <w:t xml:space="preserve"> Time limit to provide agreement or objections</w:t>
      </w:r>
    </w:p>
    <w:p w14:paraId="54359831" w14:textId="48A613A0" w:rsidR="00E93C3B" w:rsidRDefault="00E93C3B" w:rsidP="004E1582">
      <w:r>
        <w:t xml:space="preserve">Once the customs officer of the involved member state receives the consultation request, </w:t>
      </w:r>
      <w:r w:rsidR="0032745F">
        <w:t>he</w:t>
      </w:r>
      <w:r w:rsidR="00654072">
        <w:t xml:space="preserve"> </w:t>
      </w:r>
      <w:r w:rsidR="00D04650">
        <w:t xml:space="preserve">should </w:t>
      </w:r>
      <w:r w:rsidR="00654072">
        <w:t>proceed as follows:</w:t>
      </w:r>
    </w:p>
    <w:p w14:paraId="451E0B60" w14:textId="725A0773" w:rsidR="00654072" w:rsidRDefault="00654072" w:rsidP="00AA080E">
      <w:pPr>
        <w:pStyle w:val="ListParagraph"/>
        <w:numPr>
          <w:ilvl w:val="0"/>
          <w:numId w:val="43"/>
        </w:numPr>
        <w:ind w:left="568" w:hanging="284"/>
        <w:contextualSpacing w:val="0"/>
      </w:pPr>
      <w:r>
        <w:t>Agrees on the provided draft authorisation</w:t>
      </w:r>
      <w:r w:rsidR="00D04650">
        <w:t>;</w:t>
      </w:r>
      <w:r>
        <w:t xml:space="preserve"> or</w:t>
      </w:r>
    </w:p>
    <w:p w14:paraId="588AD11A" w14:textId="4A205792" w:rsidR="00654072" w:rsidRDefault="00654072" w:rsidP="00AA080E">
      <w:pPr>
        <w:pStyle w:val="ListParagraph"/>
        <w:numPr>
          <w:ilvl w:val="0"/>
          <w:numId w:val="43"/>
        </w:numPr>
        <w:ind w:left="568" w:hanging="284"/>
        <w:contextualSpacing w:val="0"/>
      </w:pPr>
      <w:r>
        <w:t>Provides objections on the draft authorisation.</w:t>
      </w:r>
    </w:p>
    <w:p w14:paraId="38D123AC" w14:textId="758467FB" w:rsidR="00FF7DB7" w:rsidRDefault="00FF7DB7" w:rsidP="0017140D">
      <w:r>
        <w:t xml:space="preserve">When the customs officer of the involved member state does not provide agreement or objections on the draft authorisation within the time limit, the </w:t>
      </w:r>
      <w:r w:rsidR="007B5E04">
        <w:t xml:space="preserve">draft </w:t>
      </w:r>
      <w:r>
        <w:t xml:space="preserve">authorisation is automatically deemed to be </w:t>
      </w:r>
      <w:r w:rsidR="007B5E04">
        <w:t>accepted</w:t>
      </w:r>
      <w:r>
        <w:t xml:space="preserve"> by the consulted member state. </w:t>
      </w:r>
    </w:p>
    <w:p w14:paraId="55CC47B7" w14:textId="72820078" w:rsidR="00CD6DEB" w:rsidRDefault="00CD6DEB" w:rsidP="00CD6DEB">
      <w:r>
        <w:t>If the customs officer of the involved member state agrees on the proposed draft au</w:t>
      </w:r>
      <w:r w:rsidR="00253422">
        <w:t xml:space="preserve">thorisation, </w:t>
      </w:r>
      <w:r w:rsidR="0032745F">
        <w:t>he</w:t>
      </w:r>
      <w:r w:rsidR="007B5E04">
        <w:t xml:space="preserve"> informs the DTCA accordingly and </w:t>
      </w:r>
      <w:r w:rsidR="00253422">
        <w:t>then</w:t>
      </w:r>
      <w:r w:rsidR="00E41ED1">
        <w:t xml:space="preserve"> there is</w:t>
      </w:r>
      <w:r>
        <w:t xml:space="preserve"> nothing more </w:t>
      </w:r>
      <w:r w:rsidR="00253422">
        <w:t xml:space="preserve">left </w:t>
      </w:r>
      <w:r w:rsidR="00C445C6">
        <w:t>for him</w:t>
      </w:r>
      <w:r w:rsidR="00253422">
        <w:t xml:space="preserve"> to do</w:t>
      </w:r>
      <w:r>
        <w:t xml:space="preserve">. The </w:t>
      </w:r>
      <w:r w:rsidR="00D04650">
        <w:t>customs officer of the decision</w:t>
      </w:r>
      <w:r w:rsidR="00FF7DB7">
        <w:t>-</w:t>
      </w:r>
      <w:r w:rsidR="00D04650">
        <w:t xml:space="preserve">taking customs authority will be </w:t>
      </w:r>
      <w:r>
        <w:t>inform</w:t>
      </w:r>
      <w:r w:rsidR="00D04650">
        <w:t xml:space="preserve">ed </w:t>
      </w:r>
      <w:r>
        <w:t>about the consultation result.</w:t>
      </w:r>
    </w:p>
    <w:p w14:paraId="14DC440A" w14:textId="11A80730" w:rsidR="00056FF3" w:rsidRDefault="00473C0F" w:rsidP="0017140D">
      <w:r>
        <w:t>If the customs officer of the consulted member state does not agree w</w:t>
      </w:r>
      <w:r w:rsidR="0032745F">
        <w:t>ith the draft authorisation, he</w:t>
      </w:r>
      <w:r>
        <w:t xml:space="preserve"> has to raise objections and provide them to the customs officer of decision</w:t>
      </w:r>
      <w:r w:rsidR="00FF7DB7">
        <w:t>-</w:t>
      </w:r>
      <w:r>
        <w:t>taking customs authority.</w:t>
      </w:r>
    </w:p>
    <w:p w14:paraId="40DDD492" w14:textId="0EE66A5E" w:rsidR="00473C0F" w:rsidRDefault="00FF7DB7" w:rsidP="00CD6DEB">
      <w:r>
        <w:t xml:space="preserve">Upon reception of the objections by </w:t>
      </w:r>
      <w:r w:rsidR="00144B45">
        <w:t>the decision-taking customs authority, t</w:t>
      </w:r>
      <w:r w:rsidR="00151C20">
        <w:t xml:space="preserve">he customs officer needs to decide if the received objections are acceptable </w:t>
      </w:r>
      <w:r w:rsidR="00144B45">
        <w:t xml:space="preserve">or not </w:t>
      </w:r>
      <w:r w:rsidR="00151C20">
        <w:t>and do one of the following:</w:t>
      </w:r>
    </w:p>
    <w:p w14:paraId="5AC2F8BE" w14:textId="34F05577" w:rsidR="00151C20" w:rsidRDefault="00FF7DB7" w:rsidP="00AA080E">
      <w:pPr>
        <w:pStyle w:val="ListParagraph"/>
        <w:numPr>
          <w:ilvl w:val="0"/>
          <w:numId w:val="43"/>
        </w:numPr>
        <w:ind w:left="568" w:hanging="284"/>
        <w:contextualSpacing w:val="0"/>
      </w:pPr>
      <w:r>
        <w:t>I</w:t>
      </w:r>
      <w:r w:rsidR="00151C20">
        <w:t xml:space="preserve">n order to </w:t>
      </w:r>
      <w:r w:rsidR="00151C20" w:rsidRPr="00AA080E">
        <w:rPr>
          <w:b/>
        </w:rPr>
        <w:t xml:space="preserve">reach </w:t>
      </w:r>
      <w:r w:rsidR="00D233D2" w:rsidRPr="00AA080E">
        <w:rPr>
          <w:b/>
        </w:rPr>
        <w:t>an</w:t>
      </w:r>
      <w:r w:rsidR="00151C20" w:rsidRPr="00AA080E">
        <w:rPr>
          <w:b/>
        </w:rPr>
        <w:t xml:space="preserve"> agreement</w:t>
      </w:r>
      <w:r w:rsidR="00541EDB">
        <w:t>,</w:t>
      </w:r>
      <w:r w:rsidR="00151C20">
        <w:t xml:space="preserve"> </w:t>
      </w:r>
      <w:r w:rsidR="0017140D">
        <w:t>the customs officer</w:t>
      </w:r>
      <w:r>
        <w:t xml:space="preserve"> decides to</w:t>
      </w:r>
      <w:r w:rsidR="00151C20">
        <w:t xml:space="preserve"> update the draft authorisation. </w:t>
      </w:r>
      <w:r w:rsidR="0017140D">
        <w:t>The customs officer selects the member states which have to be informed about the change and t</w:t>
      </w:r>
      <w:r w:rsidR="00151C20">
        <w:t>he draft authorisation is then submitted to the customs officer</w:t>
      </w:r>
      <w:r w:rsidR="0017140D">
        <w:t>s</w:t>
      </w:r>
      <w:r w:rsidR="00151C20">
        <w:t xml:space="preserve"> of </w:t>
      </w:r>
      <w:r w:rsidR="0017140D">
        <w:t xml:space="preserve">these </w:t>
      </w:r>
      <w:r w:rsidR="00151C20">
        <w:t>member state</w:t>
      </w:r>
      <w:r w:rsidR="0017140D">
        <w:t>s</w:t>
      </w:r>
      <w:r w:rsidR="00151C20">
        <w:t>;</w:t>
      </w:r>
    </w:p>
    <w:p w14:paraId="2DE4B7BE" w14:textId="68BFD5A4" w:rsidR="00151C20" w:rsidRDefault="007C7EA1" w:rsidP="00AA080E">
      <w:pPr>
        <w:pStyle w:val="ListParagraph"/>
        <w:numPr>
          <w:ilvl w:val="0"/>
          <w:numId w:val="43"/>
        </w:numPr>
        <w:ind w:left="568" w:hanging="284"/>
        <w:contextualSpacing w:val="0"/>
      </w:pPr>
      <w:r>
        <w:t>The customs officer d</w:t>
      </w:r>
      <w:r w:rsidR="00541EDB">
        <w:t>ecides not to update the draft authorisation</w:t>
      </w:r>
      <w:r w:rsidR="00B307AC">
        <w:t>.</w:t>
      </w:r>
    </w:p>
    <w:p w14:paraId="2273EBDE" w14:textId="77777777" w:rsidR="00147226" w:rsidRDefault="00147226" w:rsidP="00147226">
      <w:pPr>
        <w:pStyle w:val="ListParagraph"/>
        <w:ind w:left="568"/>
        <w:contextualSpacing w:val="0"/>
      </w:pPr>
    </w:p>
    <w:p w14:paraId="1D631AA0" w14:textId="7827FDBB" w:rsidR="00B65828" w:rsidRDefault="00B65828" w:rsidP="00B65828">
      <w:r>
        <w:rPr>
          <w:noProof/>
          <w:lang w:eastAsia="en-GB"/>
        </w:rPr>
        <w:lastRenderedPageBreak/>
        <mc:AlternateContent>
          <mc:Choice Requires="wps">
            <w:drawing>
              <wp:inline distT="0" distB="0" distL="0" distR="0" wp14:anchorId="313DEDF0" wp14:editId="2FDDE588">
                <wp:extent cx="5748793" cy="2725515"/>
                <wp:effectExtent l="19050" t="19050" r="23495" b="241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712C7F6D" w14:textId="5697EB58" w:rsidR="00B65828" w:rsidRPr="00F201C7" w:rsidRDefault="00B65828" w:rsidP="00B65828">
                            <w:pPr>
                              <w:spacing w:after="0"/>
                              <w:rPr>
                                <w:color w:val="806000" w:themeColor="accent4" w:themeShade="80"/>
                                <w:sz w:val="18"/>
                              </w:rPr>
                            </w:pPr>
                            <w:r w:rsidRPr="00B0743D">
                              <w:rPr>
                                <w:noProof/>
                                <w:color w:val="806000" w:themeColor="accent4" w:themeShade="80"/>
                                <w:position w:val="-20"/>
                                <w:sz w:val="18"/>
                                <w:szCs w:val="18"/>
                                <w:lang w:eastAsia="en-GB"/>
                              </w:rPr>
                              <w:drawing>
                                <wp:inline distT="0" distB="0" distL="0" distR="0" wp14:anchorId="457D69B8" wp14:editId="774DA10A">
                                  <wp:extent cx="360000" cy="360000"/>
                                  <wp:effectExtent l="0" t="0" r="2540" b="2540"/>
                                  <wp:docPr id="5"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60000" cy="360000"/>
                                          </a:xfrm>
                                          <a:prstGeom prst="rect">
                                            <a:avLst/>
                                          </a:prstGeom>
                                        </pic:spPr>
                                      </pic:pic>
                                    </a:graphicData>
                                  </a:graphic>
                                </wp:inline>
                              </w:drawing>
                            </w:r>
                            <w:r w:rsidRPr="00065E98">
                              <w:rPr>
                                <w:color w:val="FFFFFF" w:themeColor="background1"/>
                                <w:sz w:val="18"/>
                              </w:rPr>
                              <w:t xml:space="preserve"> </w:t>
                            </w:r>
                            <w:r w:rsidRPr="00065E98">
                              <w:rPr>
                                <w:color w:val="806000" w:themeColor="accent4" w:themeShade="80"/>
                                <w:sz w:val="18"/>
                              </w:rPr>
                              <w:t>I</w:t>
                            </w:r>
                            <w:r>
                              <w:rPr>
                                <w:color w:val="806000" w:themeColor="accent4" w:themeShade="80"/>
                                <w:sz w:val="18"/>
                              </w:rPr>
                              <w:t>t is worth noting that</w:t>
                            </w:r>
                            <w:r w:rsidRPr="00065E98">
                              <w:rPr>
                                <w:color w:val="806000" w:themeColor="accent4" w:themeShade="80"/>
                                <w:sz w:val="18"/>
                              </w:rPr>
                              <w:t xml:space="preserve"> </w:t>
                            </w:r>
                            <w:r>
                              <w:rPr>
                                <w:color w:val="806000" w:themeColor="accent4" w:themeShade="80"/>
                                <w:sz w:val="18"/>
                              </w:rPr>
                              <w:t xml:space="preserve">finding an agreement is an iterative process. More exchanges between the </w:t>
                            </w:r>
                            <w:r w:rsidR="00EC7726">
                              <w:rPr>
                                <w:color w:val="806000" w:themeColor="accent4" w:themeShade="80"/>
                                <w:sz w:val="18"/>
                              </w:rPr>
                              <w:t xml:space="preserve">DTCA and </w:t>
                            </w:r>
                            <w:r>
                              <w:rPr>
                                <w:color w:val="806000" w:themeColor="accent4" w:themeShade="80"/>
                                <w:sz w:val="18"/>
                              </w:rPr>
                              <w:t xml:space="preserve">involved customs officers are possible. </w:t>
                            </w:r>
                          </w:p>
                        </w:txbxContent>
                      </wps:txbx>
                      <wps:bodyPr rot="0" vert="horz" wrap="square" lIns="90000" tIns="0" rIns="91440" bIns="0" anchor="ctr" anchorCtr="0">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3DEDF0" id="_x0000_s1027"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" fillcolor="#ffc000" strokecolor="#ffd966 [1943]" strokeweight="2.25pt">
                <v:stroke joinstyle="miter"/>
                <v:textbox style="mso-fit-shape-to-text:t" inset="2.5mm,0,,0">
                  <w:txbxContent>
                    <w:p w14:paraId="712C7F6D" w14:textId="5697EB58" w:rsidR="00B65828" w:rsidRPr="00F201C7" w:rsidRDefault="00B65828" w:rsidP="00B65828">
                      <w:pPr>
                        <w:spacing w:after="0"/>
                        <w:rPr>
                          <w:color w:val="806000" w:themeColor="accent4" w:themeShade="80"/>
                          <w:sz w:val="18"/>
                        </w:rPr>
                      </w:pPr>
                      <w:r w:rsidRPr="00B0743D">
                        <w:rPr>
                          <w:noProof/>
                          <w:color w:val="806000" w:themeColor="accent4" w:themeShade="80"/>
                          <w:position w:val="-20"/>
                          <w:sz w:val="18"/>
                          <w:szCs w:val="18"/>
                          <w:lang w:eastAsia="en-GB"/>
                        </w:rPr>
                        <w:drawing>
                          <wp:inline distT="0" distB="0" distL="0" distR="0" wp14:anchorId="457D69B8" wp14:editId="774DA10A">
                            <wp:extent cx="360000" cy="360000"/>
                            <wp:effectExtent l="0" t="0" r="2540" b="2540"/>
                            <wp:docPr id="5"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sidRPr="00065E98">
                        <w:rPr>
                          <w:color w:val="FFFFFF" w:themeColor="background1"/>
                          <w:sz w:val="18"/>
                        </w:rPr>
                        <w:t xml:space="preserve"> </w:t>
                      </w:r>
                      <w:r w:rsidRPr="00065E98">
                        <w:rPr>
                          <w:color w:val="806000" w:themeColor="accent4" w:themeShade="80"/>
                          <w:sz w:val="18"/>
                        </w:rPr>
                        <w:t>I</w:t>
                      </w:r>
                      <w:r>
                        <w:rPr>
                          <w:color w:val="806000" w:themeColor="accent4" w:themeShade="80"/>
                          <w:sz w:val="18"/>
                        </w:rPr>
                        <w:t>t is worth noting that</w:t>
                      </w:r>
                      <w:r w:rsidRPr="00065E98">
                        <w:rPr>
                          <w:color w:val="806000" w:themeColor="accent4" w:themeShade="80"/>
                          <w:sz w:val="18"/>
                        </w:rPr>
                        <w:t xml:space="preserve"> </w:t>
                      </w:r>
                      <w:r>
                        <w:rPr>
                          <w:color w:val="806000" w:themeColor="accent4" w:themeShade="80"/>
                          <w:sz w:val="18"/>
                        </w:rPr>
                        <w:t xml:space="preserve">finding an agreement is an iterative process. More exchanges between the </w:t>
                      </w:r>
                      <w:r w:rsidR="00EC7726">
                        <w:rPr>
                          <w:color w:val="806000" w:themeColor="accent4" w:themeShade="80"/>
                          <w:sz w:val="18"/>
                        </w:rPr>
                        <w:t xml:space="preserve">DTCA and </w:t>
                      </w:r>
                      <w:r>
                        <w:rPr>
                          <w:color w:val="806000" w:themeColor="accent4" w:themeShade="80"/>
                          <w:sz w:val="18"/>
                        </w:rPr>
                        <w:t xml:space="preserve">involved customs officers are possible. </w:t>
                      </w:r>
                    </w:p>
                  </w:txbxContent>
                </v:textbox>
                <w10:anchorlock/>
              </v:roundrect>
            </w:pict>
          </mc:Fallback>
        </mc:AlternateContent>
      </w:r>
    </w:p>
    <w:p w14:paraId="53B4676C" w14:textId="77777777" w:rsidR="00B65828" w:rsidRDefault="00B65828" w:rsidP="00B65828"/>
    <w:p w14:paraId="4AF0786B" w14:textId="690CDD8D" w:rsidR="00B65828" w:rsidRDefault="00B65828" w:rsidP="00B65828">
      <w:r>
        <w:t xml:space="preserve">For </w:t>
      </w:r>
      <w:r w:rsidR="00591CD4">
        <w:t>reaching</w:t>
      </w:r>
      <w:r>
        <w:t xml:space="preserve"> an agreement, the legislation defines a time limit. The time limit </w:t>
      </w:r>
      <w:r w:rsidR="00810D5C">
        <w:t>depends</w:t>
      </w:r>
      <w:r>
        <w:t xml:space="preserve"> on </w:t>
      </w:r>
      <w:r w:rsidR="00810D5C">
        <w:t>the authorisation type</w:t>
      </w:r>
      <w:r>
        <w:t xml:space="preserve"> and is depicted in </w:t>
      </w:r>
      <w:r>
        <w:fldChar w:fldCharType="begin"/>
      </w:r>
      <w:r>
        <w:instrText xml:space="preserve"> REF _Ref475536054 \h </w:instrText>
      </w:r>
      <w:r>
        <w:fldChar w:fldCharType="separate"/>
      </w:r>
      <w:r w:rsidR="006472CF">
        <w:t xml:space="preserve">Table </w:t>
      </w:r>
      <w:r w:rsidR="006472CF">
        <w:rPr>
          <w:noProof/>
        </w:rPr>
        <w:t>2</w:t>
      </w:r>
      <w:r>
        <w:fldChar w:fldCharType="end"/>
      </w:r>
      <w:r>
        <w:t>.</w:t>
      </w:r>
    </w:p>
    <w:p w14:paraId="25A4AF91" w14:textId="77777777" w:rsidR="00B65828" w:rsidRDefault="00B65828" w:rsidP="00B65828"/>
    <w:tbl>
      <w:tblPr>
        <w:tblStyle w:val="GridTable5Dark-Accent41"/>
        <w:tblW w:w="0" w:type="auto"/>
        <w:jc w:val="center"/>
        <w:tblLook w:val="0420" w:firstRow="1" w:lastRow="0" w:firstColumn="0" w:lastColumn="0" w:noHBand="0" w:noVBand="1"/>
      </w:tblPr>
      <w:tblGrid>
        <w:gridCol w:w="5561"/>
        <w:gridCol w:w="3008"/>
      </w:tblGrid>
      <w:tr w:rsidR="00B65828" w14:paraId="7930C4BD" w14:textId="77777777" w:rsidTr="001E6829">
        <w:trPr>
          <w:cnfStyle w:val="100000000000" w:firstRow="1" w:lastRow="0" w:firstColumn="0" w:lastColumn="0" w:oddVBand="0" w:evenVBand="0" w:oddHBand="0" w:evenHBand="0" w:firstRowFirstColumn="0" w:firstRowLastColumn="0" w:lastRowFirstColumn="0" w:lastRowLastColumn="0"/>
          <w:tblHeader/>
          <w:jc w:val="center"/>
        </w:trPr>
        <w:tc>
          <w:tcPr>
            <w:tcW w:w="5561" w:type="dxa"/>
          </w:tcPr>
          <w:p w14:paraId="6DDB6C23" w14:textId="77777777" w:rsidR="00B65828" w:rsidRDefault="00B65828" w:rsidP="001E6829">
            <w:pPr>
              <w:keepNext/>
              <w:spacing w:before="120"/>
              <w:jc w:val="left"/>
            </w:pPr>
            <w:r>
              <w:t>Authorisation Type</w:t>
            </w:r>
          </w:p>
        </w:tc>
        <w:tc>
          <w:tcPr>
            <w:tcW w:w="3008" w:type="dxa"/>
            <w:vAlign w:val="center"/>
          </w:tcPr>
          <w:p w14:paraId="15D0754D" w14:textId="4B9F7715" w:rsidR="00B65828" w:rsidRDefault="00B65828" w:rsidP="001E6829">
            <w:pPr>
              <w:keepNext/>
              <w:spacing w:before="120"/>
              <w:jc w:val="center"/>
            </w:pPr>
            <w:r>
              <w:t>Time Limit to find an agreement (days)</w:t>
            </w:r>
          </w:p>
        </w:tc>
      </w:tr>
      <w:tr w:rsidR="00B65828" w14:paraId="7F9CBAFB" w14:textId="77777777" w:rsidTr="00A57F02">
        <w:trPr>
          <w:cnfStyle w:val="000000100000" w:firstRow="0" w:lastRow="0" w:firstColumn="0" w:lastColumn="0" w:oddVBand="0" w:evenVBand="0" w:oddHBand="1" w:evenHBand="0" w:firstRowFirstColumn="0" w:firstRowLastColumn="0" w:lastRowFirstColumn="0" w:lastRowLastColumn="0"/>
          <w:jc w:val="center"/>
        </w:trPr>
        <w:tc>
          <w:tcPr>
            <w:tcW w:w="0" w:type="auto"/>
            <w:gridSpan w:val="2"/>
          </w:tcPr>
          <w:p w14:paraId="5EF88896" w14:textId="77777777" w:rsidR="00B65828" w:rsidRPr="00E75DB3" w:rsidRDefault="00B65828" w:rsidP="001E6829">
            <w:pPr>
              <w:keepNext/>
              <w:spacing w:before="60" w:after="60"/>
              <w:jc w:val="left"/>
              <w:rPr>
                <w:b/>
              </w:rPr>
            </w:pPr>
            <w:r>
              <w:rPr>
                <w:b/>
              </w:rPr>
              <w:t>Placing Goods under a Customs Procedure and Temporary Storage</w:t>
            </w:r>
          </w:p>
        </w:tc>
      </w:tr>
      <w:tr w:rsidR="00B65828" w14:paraId="4210AD9C" w14:textId="77777777" w:rsidTr="00A57F02">
        <w:trPr>
          <w:jc w:val="center"/>
        </w:trPr>
        <w:tc>
          <w:tcPr>
            <w:tcW w:w="5561" w:type="dxa"/>
          </w:tcPr>
          <w:p w14:paraId="3ABE1CE1" w14:textId="77777777" w:rsidR="00B65828" w:rsidRPr="00E75DB3" w:rsidRDefault="00B65828" w:rsidP="001E6829">
            <w:pPr>
              <w:keepNext/>
              <w:spacing w:before="60" w:after="60"/>
              <w:jc w:val="left"/>
            </w:pPr>
            <w:r>
              <w:t xml:space="preserve">        </w:t>
            </w:r>
            <w:r w:rsidRPr="00AE59C9">
              <w:t>Authorisation for centralised clearance</w:t>
            </w:r>
          </w:p>
        </w:tc>
        <w:tc>
          <w:tcPr>
            <w:tcW w:w="3008" w:type="dxa"/>
          </w:tcPr>
          <w:p w14:paraId="2A66BA95" w14:textId="2009CBCB" w:rsidR="00B65828" w:rsidRDefault="00B65828" w:rsidP="001E6829">
            <w:pPr>
              <w:keepNext/>
              <w:spacing w:before="60" w:after="60"/>
              <w:jc w:val="center"/>
            </w:pPr>
            <w:r>
              <w:t>90</w:t>
            </w:r>
          </w:p>
        </w:tc>
      </w:tr>
      <w:tr w:rsidR="00B65828" w14:paraId="67D9F9C4" w14:textId="77777777" w:rsidTr="00A57F02">
        <w:trPr>
          <w:cnfStyle w:val="000000100000" w:firstRow="0" w:lastRow="0" w:firstColumn="0" w:lastColumn="0" w:oddVBand="0" w:evenVBand="0" w:oddHBand="1" w:evenHBand="0" w:firstRowFirstColumn="0" w:firstRowLastColumn="0" w:lastRowFirstColumn="0" w:lastRowLastColumn="0"/>
          <w:jc w:val="center"/>
        </w:trPr>
        <w:tc>
          <w:tcPr>
            <w:tcW w:w="5561" w:type="dxa"/>
          </w:tcPr>
          <w:p w14:paraId="14E11E74" w14:textId="77777777" w:rsidR="00B65828" w:rsidRPr="00E75DB3" w:rsidRDefault="00B65828" w:rsidP="001E6829">
            <w:pPr>
              <w:keepNext/>
              <w:spacing w:before="60" w:after="60"/>
              <w:jc w:val="left"/>
            </w:pPr>
            <w:r>
              <w:t xml:space="preserve">        All the other authorisations</w:t>
            </w:r>
          </w:p>
        </w:tc>
        <w:tc>
          <w:tcPr>
            <w:tcW w:w="3008" w:type="dxa"/>
          </w:tcPr>
          <w:p w14:paraId="1B5A0762" w14:textId="38EE969C" w:rsidR="00B65828" w:rsidRDefault="00B65828" w:rsidP="001E6829">
            <w:pPr>
              <w:keepNext/>
              <w:spacing w:before="60" w:after="60"/>
              <w:jc w:val="center"/>
            </w:pPr>
            <w:r>
              <w:t>6</w:t>
            </w:r>
            <w:r w:rsidRPr="00154728">
              <w:t>0</w:t>
            </w:r>
          </w:p>
        </w:tc>
      </w:tr>
      <w:tr w:rsidR="00B65828" w14:paraId="4C6B619F" w14:textId="77777777" w:rsidTr="00A57F02">
        <w:trPr>
          <w:jc w:val="center"/>
        </w:trPr>
        <w:tc>
          <w:tcPr>
            <w:tcW w:w="5561" w:type="dxa"/>
            <w:vAlign w:val="center"/>
          </w:tcPr>
          <w:p w14:paraId="304FB2C4" w14:textId="77777777" w:rsidR="00B65828" w:rsidRPr="00E75DB3" w:rsidRDefault="00B65828" w:rsidP="001E6829">
            <w:pPr>
              <w:keepNext/>
              <w:spacing w:before="60" w:after="60"/>
              <w:jc w:val="left"/>
              <w:rPr>
                <w:b/>
              </w:rPr>
            </w:pPr>
            <w:r>
              <w:rPr>
                <w:b/>
              </w:rPr>
              <w:t>Special Procedures</w:t>
            </w:r>
          </w:p>
        </w:tc>
        <w:tc>
          <w:tcPr>
            <w:tcW w:w="3008" w:type="dxa"/>
          </w:tcPr>
          <w:p w14:paraId="7C89C584" w14:textId="77777777" w:rsidR="00B65828" w:rsidRPr="00E75DB3" w:rsidRDefault="00B65828" w:rsidP="001E6829">
            <w:pPr>
              <w:keepNext/>
              <w:spacing w:before="60" w:after="60"/>
              <w:jc w:val="center"/>
              <w:rPr>
                <w:b/>
              </w:rPr>
            </w:pPr>
          </w:p>
        </w:tc>
      </w:tr>
      <w:tr w:rsidR="00B65828" w14:paraId="0294A04C" w14:textId="77777777" w:rsidTr="00A57F02">
        <w:trPr>
          <w:cnfStyle w:val="000000100000" w:firstRow="0" w:lastRow="0" w:firstColumn="0" w:lastColumn="0" w:oddVBand="0" w:evenVBand="0" w:oddHBand="1" w:evenHBand="0" w:firstRowFirstColumn="0" w:firstRowLastColumn="0" w:lastRowFirstColumn="0" w:lastRowLastColumn="0"/>
          <w:jc w:val="center"/>
        </w:trPr>
        <w:tc>
          <w:tcPr>
            <w:tcW w:w="5561" w:type="dxa"/>
          </w:tcPr>
          <w:p w14:paraId="4E8CF697" w14:textId="77777777" w:rsidR="00B65828" w:rsidRPr="00E75DB3" w:rsidRDefault="00B65828" w:rsidP="001E6829">
            <w:pPr>
              <w:keepNext/>
              <w:spacing w:before="60" w:after="60"/>
              <w:jc w:val="left"/>
            </w:pPr>
            <w:r>
              <w:t xml:space="preserve">        All authorisations</w:t>
            </w:r>
          </w:p>
        </w:tc>
        <w:tc>
          <w:tcPr>
            <w:tcW w:w="3008" w:type="dxa"/>
          </w:tcPr>
          <w:p w14:paraId="10DCD2EE" w14:textId="1B309D2B" w:rsidR="00B65828" w:rsidRDefault="00B65828" w:rsidP="0068257C">
            <w:pPr>
              <w:keepNext/>
              <w:spacing w:before="60" w:after="60"/>
              <w:jc w:val="center"/>
            </w:pPr>
            <w:r>
              <w:t>6</w:t>
            </w:r>
            <w:r w:rsidRPr="00154728">
              <w:t>0</w:t>
            </w:r>
          </w:p>
        </w:tc>
      </w:tr>
    </w:tbl>
    <w:p w14:paraId="39F02737" w14:textId="4A6E0B42" w:rsidR="00B65828" w:rsidRDefault="00B65828" w:rsidP="00B65828">
      <w:pPr>
        <w:pStyle w:val="Caption"/>
      </w:pPr>
      <w:bookmarkStart w:id="4" w:name="_Ref475536054"/>
      <w:r>
        <w:t xml:space="preserve">Table </w:t>
      </w:r>
      <w:r w:rsidR="001C5996">
        <w:fldChar w:fldCharType="begin"/>
      </w:r>
      <w:r w:rsidR="001C5996">
        <w:instrText xml:space="preserve"> SEQ Table \* ARABIC </w:instrText>
      </w:r>
      <w:r w:rsidR="001C5996">
        <w:fldChar w:fldCharType="separate"/>
      </w:r>
      <w:r w:rsidR="006472CF">
        <w:rPr>
          <w:noProof/>
        </w:rPr>
        <w:t>2</w:t>
      </w:r>
      <w:r w:rsidR="001C5996">
        <w:rPr>
          <w:noProof/>
        </w:rPr>
        <w:fldChar w:fldCharType="end"/>
      </w:r>
      <w:bookmarkEnd w:id="4"/>
      <w:r>
        <w:t xml:space="preserve"> Time limit to find an agreement </w:t>
      </w:r>
    </w:p>
    <w:p w14:paraId="73C4F4D9" w14:textId="77777777" w:rsidR="00315472" w:rsidRDefault="00315472" w:rsidP="00315472"/>
    <w:p w14:paraId="65F22F1A" w14:textId="18BFC43F" w:rsidR="00315472" w:rsidRPr="00315472" w:rsidRDefault="00253422" w:rsidP="00315472">
      <w:r>
        <w:rPr>
          <w:noProof/>
          <w:lang w:eastAsia="en-GB"/>
        </w:rPr>
        <mc:AlternateContent>
          <mc:Choice Requires="wps">
            <w:drawing>
              <wp:anchor distT="107950" distB="107950" distL="215900" distR="114300" simplePos="0" relativeHeight="251659264" behindDoc="0" locked="0" layoutInCell="1" allowOverlap="1" wp14:anchorId="15BF7744" wp14:editId="1049CE5C">
                <wp:simplePos x="0" y="0"/>
                <wp:positionH relativeFrom="column">
                  <wp:posOffset>2696845</wp:posOffset>
                </wp:positionH>
                <wp:positionV relativeFrom="paragraph">
                  <wp:posOffset>19050</wp:posOffset>
                </wp:positionV>
                <wp:extent cx="3009900" cy="793115"/>
                <wp:effectExtent l="19050" t="19050" r="19050" b="26035"/>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93115"/>
                        </a:xfrm>
                        <a:prstGeom prst="roundRect">
                          <a:avLst/>
                        </a:prstGeom>
                        <a:solidFill>
                          <a:srgbClr val="002060"/>
                        </a:solidFill>
                        <a:ln w="28575">
                          <a:solidFill>
                            <a:schemeClr val="accent5">
                              <a:lumMod val="20000"/>
                              <a:lumOff val="8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4464DF5" w14:textId="012734E1" w:rsidR="00315472" w:rsidRPr="006602E5" w:rsidRDefault="00315472" w:rsidP="00315472">
                            <w:pPr>
                              <w:rPr>
                                <w:color w:val="FFFFFF" w:themeColor="background1"/>
                                <w:sz w:val="18"/>
                              </w:rPr>
                            </w:pPr>
                            <w:r w:rsidRPr="006602E5">
                              <w:rPr>
                                <w:noProof/>
                                <w:color w:val="FFFFFF" w:themeColor="background1"/>
                                <w:sz w:val="18"/>
                                <w:lang w:eastAsia="en-GB"/>
                              </w:rPr>
                              <w:drawing>
                                <wp:inline distT="0" distB="0" distL="0" distR="0" wp14:anchorId="7060F999" wp14:editId="5354555F">
                                  <wp:extent cx="360000" cy="360000"/>
                                  <wp:effectExtent l="0" t="0" r="0" b="2540"/>
                                  <wp:docPr id="22" name="Graphic 28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360000" cy="360000"/>
                                          </a:xfrm>
                                          <a:prstGeom prst="rect">
                                            <a:avLst/>
                                          </a:prstGeom>
                                        </pic:spPr>
                                      </pic:pic>
                                    </a:graphicData>
                                  </a:graphic>
                                </wp:inline>
                              </w:drawing>
                            </w:r>
                            <w:r>
                              <w:rPr>
                                <w:color w:val="FFFFFF" w:themeColor="background1"/>
                                <w:sz w:val="18"/>
                              </w:rPr>
                              <w:t xml:space="preserve">All the time limits referred in this document are constant and there is no possible extension </w:t>
                            </w:r>
                            <w:r w:rsidR="00591CD4">
                              <w:rPr>
                                <w:color w:val="FFFFFF" w:themeColor="background1"/>
                                <w:sz w:val="18"/>
                              </w:rPr>
                              <w:t>of</w:t>
                            </w:r>
                            <w:r>
                              <w:rPr>
                                <w:color w:val="FFFFFF" w:themeColor="background1"/>
                                <w:sz w:val="18"/>
                              </w:rPr>
                              <w:t xml:space="preserve"> them. </w:t>
                            </w:r>
                          </w:p>
                          <w:p w14:paraId="582998D4" w14:textId="77777777" w:rsidR="00315472" w:rsidRPr="006602E5" w:rsidRDefault="00315472" w:rsidP="00315472">
                            <w:pPr>
                              <w:rPr>
                                <w:sz w:val="18"/>
                              </w:rPr>
                            </w:pPr>
                          </w:p>
                        </w:txbxContent>
                      </wps:txbx>
                      <wps:bodyPr rot="0" vert="horz" wrap="square" lIns="90000" tIns="0" rIns="91440" bIns="0"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BF7744" id="_x0000_s1028" style="position:absolute;left:0;text-align:left;margin-left:212.35pt;margin-top:1.5pt;width:237pt;height:62.45pt;z-index:251659264;visibility:visible;mso-wrap-style:square;mso-width-percent:0;mso-height-percent:0;mso-wrap-distance-left:17pt;mso-wrap-distance-top:8.5pt;mso-wrap-distance-right:9pt;mso-wrap-distance-bottom:8.5pt;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" fillcolor="#002060" strokecolor="#d9e2f3 [664]" strokeweight="2.25pt">
                <v:stroke joinstyle="miter"/>
                <v:textbox inset="2.5mm,0,,0">
                  <w:txbxContent>
                    <w:p w14:paraId="44464DF5" w14:textId="012734E1" w:rsidR="00315472" w:rsidRPr="006602E5" w:rsidRDefault="00315472" w:rsidP="00315472">
                      <w:pPr>
                        <w:rPr>
                          <w:color w:val="FFFFFF" w:themeColor="background1"/>
                          <w:sz w:val="18"/>
                        </w:rPr>
                      </w:pPr>
                      <w:r w:rsidRPr="006602E5">
                        <w:rPr>
                          <w:noProof/>
                          <w:color w:val="FFFFFF" w:themeColor="background1"/>
                          <w:sz w:val="18"/>
                          <w:lang w:eastAsia="en-GB"/>
                        </w:rPr>
                        <w:drawing>
                          <wp:inline distT="0" distB="0" distL="0" distR="0" wp14:anchorId="7060F999" wp14:editId="5354555F">
                            <wp:extent cx="360000" cy="360000"/>
                            <wp:effectExtent l="0" t="0" r="0" b="2540"/>
                            <wp:docPr id="22" name="Graphic 28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inline>
                        </w:drawing>
                      </w:r>
                      <w:r>
                        <w:rPr>
                          <w:color w:val="FFFFFF" w:themeColor="background1"/>
                          <w:sz w:val="18"/>
                        </w:rPr>
                        <w:t xml:space="preserve">All the time limits referred in this document are constant and there is no possible extension </w:t>
                      </w:r>
                      <w:r w:rsidR="00591CD4">
                        <w:rPr>
                          <w:color w:val="FFFFFF" w:themeColor="background1"/>
                          <w:sz w:val="18"/>
                        </w:rPr>
                        <w:t>of</w:t>
                      </w:r>
                      <w:r>
                        <w:rPr>
                          <w:color w:val="FFFFFF" w:themeColor="background1"/>
                          <w:sz w:val="18"/>
                        </w:rPr>
                        <w:t xml:space="preserve"> them. </w:t>
                      </w:r>
                    </w:p>
                    <w:p w14:paraId="582998D4" w14:textId="77777777" w:rsidR="00315472" w:rsidRPr="006602E5" w:rsidRDefault="00315472" w:rsidP="00315472">
                      <w:pPr>
                        <w:rPr>
                          <w:sz w:val="18"/>
                        </w:rPr>
                      </w:pPr>
                    </w:p>
                  </w:txbxContent>
                </v:textbox>
                <w10:wrap type="square"/>
              </v:roundrect>
            </w:pict>
          </mc:Fallback>
        </mc:AlternateContent>
      </w:r>
      <w:r w:rsidR="00315472" w:rsidRPr="00DB5D27">
        <w:rPr>
          <w:lang w:eastAsia="en-GB"/>
        </w:rPr>
        <w:t xml:space="preserve">Where </w:t>
      </w:r>
      <w:r w:rsidR="00315472">
        <w:rPr>
          <w:lang w:eastAsia="en-GB"/>
        </w:rPr>
        <w:t xml:space="preserve">the customs officer of the consulted member state </w:t>
      </w:r>
      <w:r w:rsidR="00D46A34">
        <w:rPr>
          <w:lang w:eastAsia="en-GB"/>
        </w:rPr>
        <w:t xml:space="preserve">has </w:t>
      </w:r>
      <w:r w:rsidR="00315472">
        <w:rPr>
          <w:lang w:eastAsia="en-GB"/>
        </w:rPr>
        <w:t xml:space="preserve">communicated </w:t>
      </w:r>
      <w:r w:rsidR="00315472" w:rsidRPr="00DB5D27">
        <w:rPr>
          <w:lang w:eastAsia="en-GB"/>
        </w:rPr>
        <w:t>objections</w:t>
      </w:r>
      <w:r w:rsidR="00315472">
        <w:rPr>
          <w:lang w:eastAsia="en-GB"/>
        </w:rPr>
        <w:t xml:space="preserve"> and </w:t>
      </w:r>
      <w:r w:rsidR="00315472" w:rsidRPr="00DB5D27">
        <w:rPr>
          <w:lang w:eastAsia="en-GB"/>
        </w:rPr>
        <w:t xml:space="preserve">no agreement is reached within </w:t>
      </w:r>
      <w:r w:rsidR="00315472">
        <w:rPr>
          <w:lang w:eastAsia="en-GB"/>
        </w:rPr>
        <w:t>the relevant time limit</w:t>
      </w:r>
      <w:r>
        <w:rPr>
          <w:lang w:eastAsia="en-GB"/>
        </w:rPr>
        <w:t xml:space="preserve"> depicted in </w:t>
      </w:r>
      <w:r>
        <w:rPr>
          <w:lang w:eastAsia="en-GB"/>
        </w:rPr>
        <w:fldChar w:fldCharType="begin"/>
      </w:r>
      <w:r>
        <w:rPr>
          <w:lang w:eastAsia="en-GB"/>
        </w:rPr>
        <w:instrText xml:space="preserve"> REF _Ref475536054 \h </w:instrText>
      </w:r>
      <w:r>
        <w:rPr>
          <w:lang w:eastAsia="en-GB"/>
        </w:rPr>
      </w:r>
      <w:r>
        <w:rPr>
          <w:lang w:eastAsia="en-GB"/>
        </w:rPr>
        <w:fldChar w:fldCharType="separate"/>
      </w:r>
      <w:r w:rsidR="006472CF">
        <w:t xml:space="preserve">Table </w:t>
      </w:r>
      <w:r w:rsidR="006472CF">
        <w:rPr>
          <w:noProof/>
        </w:rPr>
        <w:t>2</w:t>
      </w:r>
      <w:r>
        <w:rPr>
          <w:lang w:eastAsia="en-GB"/>
        </w:rPr>
        <w:fldChar w:fldCharType="end"/>
      </w:r>
      <w:r w:rsidR="00315472" w:rsidRPr="00DB5D27">
        <w:rPr>
          <w:lang w:eastAsia="en-GB"/>
        </w:rPr>
        <w:t xml:space="preserve">, the authorisation </w:t>
      </w:r>
      <w:r w:rsidR="00315472">
        <w:rPr>
          <w:lang w:eastAsia="en-GB"/>
        </w:rPr>
        <w:t>is</w:t>
      </w:r>
      <w:r w:rsidR="00315472" w:rsidRPr="00DB5D27">
        <w:rPr>
          <w:lang w:eastAsia="en-GB"/>
        </w:rPr>
        <w:t xml:space="preserve"> granted </w:t>
      </w:r>
      <w:r w:rsidR="005143C3">
        <w:rPr>
          <w:lang w:eastAsia="en-GB"/>
        </w:rPr>
        <w:t>for the part on which no</w:t>
      </w:r>
      <w:r w:rsidR="00315472" w:rsidRPr="00DB5D27">
        <w:rPr>
          <w:lang w:eastAsia="en-GB"/>
        </w:rPr>
        <w:t xml:space="preserve"> objections were raised</w:t>
      </w:r>
      <w:r w:rsidR="00315472">
        <w:rPr>
          <w:lang w:eastAsia="en-GB"/>
        </w:rPr>
        <w:t>.</w:t>
      </w:r>
    </w:p>
    <w:p w14:paraId="52F572B4" w14:textId="060391F8" w:rsidR="00315472" w:rsidRDefault="00315472" w:rsidP="00315472"/>
    <w:p w14:paraId="2D3E4121" w14:textId="52F3E1A0" w:rsidR="00315472" w:rsidRPr="00315472" w:rsidRDefault="00315472" w:rsidP="00315472"/>
    <w:sectPr w:rsidR="00315472" w:rsidRPr="00315472" w:rsidSect="0056695E">
      <w:headerReference w:type="default" r:id="rId22"/>
      <w:footerReference w:type="default" r:id="rId23"/>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961D3" w14:textId="77777777" w:rsidR="007C7EA1" w:rsidRDefault="007C7EA1">
      <w:r>
        <w:separator/>
      </w:r>
    </w:p>
  </w:endnote>
  <w:endnote w:type="continuationSeparator" w:id="0">
    <w:p w14:paraId="2C4045C7" w14:textId="77777777" w:rsidR="007C7EA1" w:rsidRDefault="007C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sdtContent>
      <w:p w14:paraId="7D81E66D" w14:textId="0B6739F0" w:rsidR="007C7EA1" w:rsidRDefault="007C7EA1" w:rsidP="008A5403">
        <w:pPr>
          <w:pStyle w:val="Footer"/>
          <w:jc w:val="center"/>
        </w:pPr>
        <w:r>
          <w:fldChar w:fldCharType="begin"/>
        </w:r>
        <w:r>
          <w:instrText xml:space="preserve"> PAGE   \* MERGEFORMAT </w:instrText>
        </w:r>
        <w:r>
          <w:fldChar w:fldCharType="separate"/>
        </w:r>
        <w:r w:rsidR="001C599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1041" w14:textId="77777777" w:rsidR="007C7EA1" w:rsidRDefault="007C7EA1">
      <w:r>
        <w:separator/>
      </w:r>
    </w:p>
  </w:footnote>
  <w:footnote w:type="continuationSeparator" w:id="0">
    <w:p w14:paraId="64D1458D" w14:textId="77777777" w:rsidR="007C7EA1" w:rsidRDefault="007C7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7C7EA1" w:rsidRPr="00D6659F" w:rsidRDefault="007C7EA1" w:rsidP="009A5DA5">
    <w:pPr>
      <w:pStyle w:val="Header"/>
    </w:pPr>
  </w:p>
  <w:p w14:paraId="1317932C" w14:textId="77777777" w:rsidR="007C7EA1" w:rsidRPr="008C7CBE" w:rsidRDefault="007C7EA1" w:rsidP="009A5DA5">
    <w:pPr>
      <w:pStyle w:val="Header"/>
    </w:pPr>
  </w:p>
  <w:p w14:paraId="0A75C38C" w14:textId="77777777" w:rsidR="007C7EA1" w:rsidRPr="009A5DA5" w:rsidRDefault="007C7EA1" w:rsidP="009A5DA5">
    <w:pPr>
      <w:pStyle w:val="Header"/>
    </w:pPr>
  </w:p>
  <w:p w14:paraId="62DB8D0D" w14:textId="77777777" w:rsidR="007C7EA1" w:rsidRDefault="007C7E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DDD497EA"/>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721C6C"/>
    <w:multiLevelType w:val="hybridMultilevel"/>
    <w:tmpl w:val="4E6CDDC2"/>
    <w:lvl w:ilvl="0" w:tplc="E3C0C31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E52D95"/>
    <w:multiLevelType w:val="hybridMultilevel"/>
    <w:tmpl w:val="EFECDA22"/>
    <w:lvl w:ilvl="0" w:tplc="FC760310">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3">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8">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5">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0"/>
  </w:num>
  <w:num w:numId="4">
    <w:abstractNumId w:val="0"/>
  </w:num>
  <w:num w:numId="5">
    <w:abstractNumId w:val="19"/>
  </w:num>
  <w:num w:numId="6">
    <w:abstractNumId w:val="1"/>
  </w:num>
  <w:num w:numId="7">
    <w:abstractNumId w:val="3"/>
  </w:num>
  <w:num w:numId="8">
    <w:abstractNumId w:val="39"/>
  </w:num>
  <w:num w:numId="9">
    <w:abstractNumId w:val="32"/>
  </w:num>
  <w:num w:numId="10">
    <w:abstractNumId w:val="30"/>
  </w:num>
  <w:num w:numId="11">
    <w:abstractNumId w:val="23"/>
  </w:num>
  <w:num w:numId="12">
    <w:abstractNumId w:val="36"/>
  </w:num>
  <w:num w:numId="13">
    <w:abstractNumId w:val="20"/>
  </w:num>
  <w:num w:numId="14">
    <w:abstractNumId w:val="13"/>
  </w:num>
  <w:num w:numId="15">
    <w:abstractNumId w:val="18"/>
  </w:num>
  <w:num w:numId="16">
    <w:abstractNumId w:val="5"/>
  </w:num>
  <w:num w:numId="17">
    <w:abstractNumId w:val="14"/>
  </w:num>
  <w:num w:numId="18">
    <w:abstractNumId w:val="27"/>
  </w:num>
  <w:num w:numId="19">
    <w:abstractNumId w:val="43"/>
  </w:num>
  <w:num w:numId="20">
    <w:abstractNumId w:val="15"/>
  </w:num>
  <w:num w:numId="21">
    <w:abstractNumId w:val="38"/>
  </w:num>
  <w:num w:numId="22">
    <w:abstractNumId w:val="26"/>
  </w:num>
  <w:num w:numId="23">
    <w:abstractNumId w:val="35"/>
  </w:num>
  <w:num w:numId="24">
    <w:abstractNumId w:val="28"/>
  </w:num>
  <w:num w:numId="25">
    <w:abstractNumId w:val="33"/>
  </w:num>
  <w:num w:numId="26">
    <w:abstractNumId w:val="40"/>
  </w:num>
  <w:num w:numId="27">
    <w:abstractNumId w:val="31"/>
  </w:num>
  <w:num w:numId="28">
    <w:abstractNumId w:val="7"/>
  </w:num>
  <w:num w:numId="29">
    <w:abstractNumId w:val="12"/>
  </w:num>
  <w:num w:numId="30">
    <w:abstractNumId w:val="34"/>
  </w:num>
  <w:num w:numId="31">
    <w:abstractNumId w:val="41"/>
  </w:num>
  <w:num w:numId="32">
    <w:abstractNumId w:val="42"/>
  </w:num>
  <w:num w:numId="33">
    <w:abstractNumId w:val="17"/>
  </w:num>
  <w:num w:numId="34">
    <w:abstractNumId w:val="22"/>
  </w:num>
  <w:num w:numId="35">
    <w:abstractNumId w:val="24"/>
  </w:num>
  <w:num w:numId="36">
    <w:abstractNumId w:val="25"/>
  </w:num>
  <w:num w:numId="37">
    <w:abstractNumId w:val="11"/>
  </w:num>
  <w:num w:numId="38">
    <w:abstractNumId w:val="9"/>
  </w:num>
  <w:num w:numId="39">
    <w:abstractNumId w:val="29"/>
  </w:num>
  <w:num w:numId="40">
    <w:abstractNumId w:val="37"/>
  </w:num>
  <w:num w:numId="41">
    <w:abstractNumId w:val="6"/>
  </w:num>
  <w:num w:numId="42">
    <w:abstractNumId w:val="8"/>
  </w:num>
  <w:num w:numId="43">
    <w:abstractNumId w:val="16"/>
  </w:num>
  <w:num w:numId="44">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5057">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6FF3"/>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6FDD"/>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45"/>
    <w:rsid w:val="00144BDA"/>
    <w:rsid w:val="00144D74"/>
    <w:rsid w:val="0014502E"/>
    <w:rsid w:val="001453DC"/>
    <w:rsid w:val="0014558F"/>
    <w:rsid w:val="00145BB1"/>
    <w:rsid w:val="00145CE8"/>
    <w:rsid w:val="00145E27"/>
    <w:rsid w:val="001465B1"/>
    <w:rsid w:val="001467C7"/>
    <w:rsid w:val="00146BD7"/>
    <w:rsid w:val="00147078"/>
    <w:rsid w:val="00147226"/>
    <w:rsid w:val="00147717"/>
    <w:rsid w:val="00147D91"/>
    <w:rsid w:val="0015018C"/>
    <w:rsid w:val="001503C0"/>
    <w:rsid w:val="00150FC9"/>
    <w:rsid w:val="00151176"/>
    <w:rsid w:val="00151343"/>
    <w:rsid w:val="001514D2"/>
    <w:rsid w:val="001518F2"/>
    <w:rsid w:val="00151C20"/>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0D"/>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5996"/>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829"/>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422"/>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4E4"/>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472"/>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2745F"/>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564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5CB"/>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2BCD"/>
    <w:rsid w:val="00413540"/>
    <w:rsid w:val="00413A71"/>
    <w:rsid w:val="00413F2F"/>
    <w:rsid w:val="004141D6"/>
    <w:rsid w:val="0041423D"/>
    <w:rsid w:val="004145E7"/>
    <w:rsid w:val="0041498D"/>
    <w:rsid w:val="00414FC6"/>
    <w:rsid w:val="00415660"/>
    <w:rsid w:val="00415797"/>
    <w:rsid w:val="00415ADB"/>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C0F"/>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8C3"/>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582"/>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3C3"/>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EDB"/>
    <w:rsid w:val="00541F86"/>
    <w:rsid w:val="00542049"/>
    <w:rsid w:val="00542110"/>
    <w:rsid w:val="0054217D"/>
    <w:rsid w:val="00542214"/>
    <w:rsid w:val="0054271C"/>
    <w:rsid w:val="00543549"/>
    <w:rsid w:val="00543598"/>
    <w:rsid w:val="005435EF"/>
    <w:rsid w:val="00543D7B"/>
    <w:rsid w:val="00543F4D"/>
    <w:rsid w:val="00544246"/>
    <w:rsid w:val="00544E0E"/>
    <w:rsid w:val="00544FC9"/>
    <w:rsid w:val="005457CC"/>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1CD4"/>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2CF"/>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072"/>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163"/>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57C"/>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AD1"/>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199A"/>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E36"/>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5E04"/>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C7EA1"/>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5C"/>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1FAD"/>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1DF"/>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5DD"/>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403"/>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A1F"/>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A6F"/>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203"/>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3E76"/>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4D3A"/>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57E8A"/>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0E"/>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07AC"/>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828"/>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73"/>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8F2"/>
    <w:rsid w:val="00C02EFE"/>
    <w:rsid w:val="00C03950"/>
    <w:rsid w:val="00C03961"/>
    <w:rsid w:val="00C03E31"/>
    <w:rsid w:val="00C03EC7"/>
    <w:rsid w:val="00C04803"/>
    <w:rsid w:val="00C05112"/>
    <w:rsid w:val="00C05604"/>
    <w:rsid w:val="00C05BDC"/>
    <w:rsid w:val="00C05DE3"/>
    <w:rsid w:val="00C06519"/>
    <w:rsid w:val="00C066F0"/>
    <w:rsid w:val="00C0735B"/>
    <w:rsid w:val="00C10850"/>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5C6"/>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E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650"/>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3D2"/>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686"/>
    <w:rsid w:val="00D427E9"/>
    <w:rsid w:val="00D42A3B"/>
    <w:rsid w:val="00D448EC"/>
    <w:rsid w:val="00D44946"/>
    <w:rsid w:val="00D45297"/>
    <w:rsid w:val="00D456B1"/>
    <w:rsid w:val="00D461E4"/>
    <w:rsid w:val="00D464C3"/>
    <w:rsid w:val="00D4666E"/>
    <w:rsid w:val="00D46A34"/>
    <w:rsid w:val="00D46BDF"/>
    <w:rsid w:val="00D470B5"/>
    <w:rsid w:val="00D47335"/>
    <w:rsid w:val="00D4770C"/>
    <w:rsid w:val="00D47859"/>
    <w:rsid w:val="00D478BF"/>
    <w:rsid w:val="00D47A88"/>
    <w:rsid w:val="00D47B7C"/>
    <w:rsid w:val="00D47FE7"/>
    <w:rsid w:val="00D501DF"/>
    <w:rsid w:val="00D5034E"/>
    <w:rsid w:val="00D51057"/>
    <w:rsid w:val="00D5149D"/>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5789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1BFC"/>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1F3"/>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04"/>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C61"/>
    <w:rsid w:val="00E41D3F"/>
    <w:rsid w:val="00E41ED1"/>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C3B"/>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709A"/>
    <w:rsid w:val="00EC723E"/>
    <w:rsid w:val="00EC7586"/>
    <w:rsid w:val="00EC772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3AA"/>
    <w:rsid w:val="00EE09A7"/>
    <w:rsid w:val="00EE0F4A"/>
    <w:rsid w:val="00EE1B70"/>
    <w:rsid w:val="00EE212F"/>
    <w:rsid w:val="00EE214C"/>
    <w:rsid w:val="00EE2416"/>
    <w:rsid w:val="00EE257D"/>
    <w:rsid w:val="00EE28B3"/>
    <w:rsid w:val="00EE2F15"/>
    <w:rsid w:val="00EE35D0"/>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7DF"/>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73B"/>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B5E"/>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96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79"/>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719"/>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D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8A5403"/>
    <w:rPr>
      <w:rFonts w:ascii="Arial" w:hAnsi="Arial"/>
      <w:sz w:val="18"/>
      <w:szCs w:val="24"/>
      <w:lang w:eastAsia="en-US"/>
    </w:rPr>
  </w:style>
  <w:style w:type="table" w:customStyle="1" w:styleId="GridTable5Dark-Accent41">
    <w:name w:val="Grid Table 5 Dark - Accent 41"/>
    <w:basedOn w:val="TableNormal"/>
    <w:uiPriority w:val="50"/>
    <w:rsid w:val="00667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8A5403"/>
    <w:rPr>
      <w:rFonts w:ascii="Arial" w:hAnsi="Arial"/>
      <w:sz w:val="18"/>
      <w:szCs w:val="24"/>
      <w:lang w:eastAsia="en-US"/>
    </w:rPr>
  </w:style>
  <w:style w:type="table" w:customStyle="1" w:styleId="GridTable5Dark-Accent41">
    <w:name w:val="Grid Table 5 Dark - Accent 41"/>
    <w:basedOn w:val="TableNormal"/>
    <w:uiPriority w:val="50"/>
    <w:rsid w:val="00667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299">
      <w:bodyDiv w:val="1"/>
      <w:marLeft w:val="0"/>
      <w:marRight w:val="0"/>
      <w:marTop w:val="0"/>
      <w:marBottom w:val="0"/>
      <w:divBdr>
        <w:top w:val="none" w:sz="0" w:space="0" w:color="auto"/>
        <w:left w:val="none" w:sz="0" w:space="0" w:color="auto"/>
        <w:bottom w:val="none" w:sz="0" w:space="0" w:color="auto"/>
        <w:right w:val="none" w:sz="0" w:space="0" w:color="auto"/>
      </w:divBdr>
    </w:div>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11304735">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151E-BE4C-43FF-88C9-D58AEF3F0157}"/>
</file>

<file path=customXml/itemProps2.xml><?xml version="1.0" encoding="utf-8"?>
<ds:datastoreItem xmlns:ds="http://schemas.openxmlformats.org/officeDocument/2006/customXml" ds:itemID="{CD232B99-093C-429C-9016-ABE0F8F4CA2A}"/>
</file>

<file path=customXml/itemProps3.xml><?xml version="1.0" encoding="utf-8"?>
<ds:datastoreItem xmlns:ds="http://schemas.openxmlformats.org/officeDocument/2006/customXml" ds:itemID="{8DFEB2CF-DBD2-4FAF-852C-1181CF7F3212}"/>
</file>

<file path=customXml/itemProps4.xml><?xml version="1.0" encoding="utf-8"?>
<ds:datastoreItem xmlns:ds="http://schemas.openxmlformats.org/officeDocument/2006/customXml" ds:itemID="{D03B7CFB-43A1-45E7-A8FD-689293EC60E9}"/>
</file>

<file path=docProps/app.xml><?xml version="1.0" encoding="utf-8"?>
<Properties xmlns="http://schemas.openxmlformats.org/officeDocument/2006/extended-properties" xmlns:vt="http://schemas.openxmlformats.org/officeDocument/2006/docPropsVTypes">
  <Template>Teplate</Template>
  <TotalTime>7852</TotalTime>
  <Pages>4</Pages>
  <Words>822</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5620</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Joachim Lucas</cp:lastModifiedBy>
  <cp:revision>43</cp:revision>
  <cp:lastPrinted>2010-08-20T08:44:00Z</cp:lastPrinted>
  <dcterms:created xsi:type="dcterms:W3CDTF">2016-12-21T09:26:00Z</dcterms:created>
  <dcterms:modified xsi:type="dcterms:W3CDTF">2018-11-09T15:25:00Z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