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AF053F1" w:rsidR="005A195B" w:rsidRPr="00DA38BA" w:rsidRDefault="00AB2C34" w:rsidP="00A219BC">
      <w:pPr>
        <w:pStyle w:val="Heading1"/>
      </w:pPr>
      <w:r>
        <w:t>Επανεξέταση απόφασης</w:t>
      </w:r>
    </w:p>
    <w:p w14:paraId="3BC2A8F6" w14:textId="2CC3C9F8" w:rsidR="000F6B93" w:rsidRDefault="00A219BC" w:rsidP="000F6B93">
      <w:pPr>
        <w:pStyle w:val="Heading2"/>
      </w:pPr>
      <w:r>
        <w:t>Ενδιαφερόμενοι φορείς που εμπλέκονται στη διαδικασία</w:t>
      </w:r>
    </w:p>
    <w:p w14:paraId="35D8C3C7" w14:textId="035CDA8A" w:rsidR="000F6B93" w:rsidRDefault="000F6B93" w:rsidP="00F93166">
      <w:pPr>
        <w:pStyle w:val="ListParagraph"/>
        <w:numPr>
          <w:ilvl w:val="0"/>
          <w:numId w:val="42"/>
        </w:numPr>
        <w:ind w:left="568" w:hanging="284"/>
        <w:contextualSpacing w:val="0"/>
      </w:pPr>
      <w:r>
        <w:t>Συναλλασσόμενος·</w:t>
      </w:r>
    </w:p>
    <w:p w14:paraId="57DB7E09" w14:textId="0B39C5B3" w:rsidR="000F6B93" w:rsidRDefault="00FF7DC6" w:rsidP="00F93166">
      <w:pPr>
        <w:pStyle w:val="ListParagraph"/>
        <w:numPr>
          <w:ilvl w:val="0"/>
          <w:numId w:val="42"/>
        </w:numPr>
        <w:ind w:left="568" w:hanging="284"/>
        <w:contextualSpacing w:val="0"/>
      </w:pPr>
      <w:r>
        <w:t>Αρμόδια για τη λήψη απόφασης τελωνειακή αρχή·</w:t>
      </w:r>
    </w:p>
    <w:p w14:paraId="1A7F09D2" w14:textId="041BF5EB" w:rsidR="000F6B93" w:rsidRDefault="000F6B93" w:rsidP="00F93166">
      <w:pPr>
        <w:pStyle w:val="ListParagraph"/>
        <w:numPr>
          <w:ilvl w:val="0"/>
          <w:numId w:val="42"/>
        </w:numPr>
        <w:ind w:left="568" w:hanging="284"/>
        <w:contextualSpacing w:val="0"/>
      </w:pPr>
      <w:r>
        <w:t>Εμπλεκόμενα κράτη μέλη·</w:t>
      </w:r>
    </w:p>
    <w:p w14:paraId="2C189073" w14:textId="5E4D73B8" w:rsidR="00DF071A" w:rsidRDefault="00DF071A" w:rsidP="00F93166">
      <w:pPr>
        <w:pStyle w:val="ListParagraph"/>
        <w:numPr>
          <w:ilvl w:val="0"/>
          <w:numId w:val="42"/>
        </w:numPr>
        <w:ind w:left="568" w:hanging="284"/>
        <w:contextualSpacing w:val="0"/>
      </w:pPr>
      <w:r>
        <w:t>Άλλη αρχή.</w:t>
      </w:r>
    </w:p>
    <w:p w14:paraId="16A87C02" w14:textId="77777777" w:rsidR="000F6B93" w:rsidRDefault="000F6B93" w:rsidP="000F6B93">
      <w:pPr>
        <w:pStyle w:val="Heading2"/>
      </w:pPr>
      <w:r>
        <w:t>Ροή εργασιών</w:t>
      </w:r>
    </w:p>
    <w:p w14:paraId="671D39EF" w14:textId="60811833" w:rsidR="00757D48" w:rsidRDefault="00757D48" w:rsidP="000F6B93">
      <w:r>
        <w:t>Μετά τη χορήγηση της άδειας, ο συναλλασσόμενος, ο τελωνειακός υπάλληλος της αρμόδιας για τη λήψη απόφασης τελωνειακής αρχής, οι τελωνειακοί υπάλληλοι των εμπλεκόμενων κρατών μελών ή άλλες αρχές μπορούν να ζητήσουν επανεξέταση της απόφασης.</w:t>
      </w:r>
    </w:p>
    <w:p w14:paraId="0ED3D65E" w14:textId="6B57C0EF" w:rsidR="000F6B93" w:rsidRDefault="000F6B93" w:rsidP="000F6B93">
      <w:r>
        <w:t>Από την υψηλού επιπέδου επισκόπηση της διαδικασίας λήψης τελωνειακών αποφάσεων (</w:t>
      </w:r>
      <w:r>
        <w:fldChar w:fldCharType="begin"/>
      </w:r>
      <w:r>
        <w:instrText xml:space="preserve"> REF _Ref484674934 \h </w:instrText>
      </w:r>
      <w:r>
        <w:fldChar w:fldCharType="separate"/>
      </w:r>
      <w:r w:rsidR="00D30BAD">
        <w:t>Σχήμα</w:t>
      </w:r>
      <w:r>
        <w:t xml:space="preserve"> </w:t>
      </w:r>
      <w:r>
        <w:rPr>
          <w:noProof/>
        </w:rPr>
        <w:t>1</w:t>
      </w:r>
      <w:r>
        <w:fldChar w:fldCharType="end"/>
      </w:r>
      <w:r>
        <w:t>), η επανεξέταση αποτελεί μέρος της διαδικασίας διαχείρισης χορήγησης αδειών, όπως απεικονίζεται στο </w:t>
      </w:r>
      <w:r>
        <w:fldChar w:fldCharType="begin"/>
      </w:r>
      <w:r>
        <w:instrText xml:space="preserve"> REF _Ref479253282 \h </w:instrText>
      </w:r>
      <w:r>
        <w:fldChar w:fldCharType="separate"/>
      </w:r>
      <w:r w:rsidR="00D30BAD">
        <w:t>Σχήμα</w:t>
      </w:r>
      <w:r>
        <w:t xml:space="preserve"> </w:t>
      </w:r>
      <w:r>
        <w:rPr>
          <w:noProof/>
        </w:rPr>
        <w:t>2</w:t>
      </w:r>
      <w:r>
        <w:fldChar w:fldCharType="end"/>
      </w:r>
      <w:r>
        <w:t>.</w:t>
      </w:r>
    </w:p>
    <w:p w14:paraId="41132B08" w14:textId="730529C0" w:rsidR="0014207A" w:rsidRDefault="00D30BAD" w:rsidP="00DC75A0">
      <w:pPr>
        <w:keepNext/>
        <w:jc w:val="center"/>
      </w:pPr>
      <w:r>
        <w:pict w14:anchorId="0AA4E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0.25pt">
            <v:imagedata r:id="rId12" o:title=""/>
          </v:shape>
        </w:pict>
      </w:r>
    </w:p>
    <w:p w14:paraId="6F4D7D77" w14:textId="09BEEA85" w:rsidR="0014207A" w:rsidRDefault="0014207A" w:rsidP="009430BD">
      <w:pPr>
        <w:pStyle w:val="Caption"/>
      </w:pPr>
      <w:bookmarkStart w:id="0" w:name="_Ref484674934"/>
      <w:r>
        <w:t xml:space="preserve">Σχήμα </w:t>
      </w:r>
      <w:fldSimple w:instr=" SEQ Figure \* ARABIC ">
        <w:r>
          <w:rPr>
            <w:noProof/>
          </w:rPr>
          <w:t>1</w:t>
        </w:r>
      </w:fldSimple>
      <w:bookmarkEnd w:id="0"/>
      <w:r>
        <w:t>: Υψηλού επιπέδου επισκόπηση διαδικασίας λήψης τελωνειακών αποφάσεων</w:t>
      </w:r>
    </w:p>
    <w:p w14:paraId="21B3E7CD" w14:textId="77777777" w:rsidR="00DA38BA" w:rsidRDefault="00DA38BA" w:rsidP="009430BD">
      <w:pPr>
        <w:keepNext/>
        <w:jc w:val="center"/>
      </w:pPr>
    </w:p>
    <w:p w14:paraId="352FEE23" w14:textId="64369D31" w:rsidR="0014207A" w:rsidRDefault="00D30BAD" w:rsidP="00DC75A0">
      <w:pPr>
        <w:keepNext/>
      </w:pPr>
      <w:r>
        <w:rPr>
          <w:noProof/>
          <w:lang w:val="en-GB" w:eastAsia="en-GB" w:bidi="ar-SA"/>
        </w:rPr>
        <w:drawing>
          <wp:inline distT="0" distB="0" distL="0" distR="0" wp14:anchorId="1E394475" wp14:editId="3E735FED">
            <wp:extent cx="5760720" cy="4419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19882"/>
                    </a:xfrm>
                    <a:prstGeom prst="rect">
                      <a:avLst/>
                    </a:prstGeom>
                    <a:noFill/>
                  </pic:spPr>
                </pic:pic>
              </a:graphicData>
            </a:graphic>
          </wp:inline>
        </w:drawing>
      </w:r>
    </w:p>
    <w:p w14:paraId="2164C778" w14:textId="1F049650" w:rsidR="0014207A" w:rsidRDefault="0014207A" w:rsidP="009430BD">
      <w:pPr>
        <w:pStyle w:val="Caption"/>
      </w:pPr>
      <w:bookmarkStart w:id="1" w:name="_Ref479253282"/>
      <w:r>
        <w:t xml:space="preserve">Σχήμα </w:t>
      </w:r>
      <w:fldSimple w:instr=" SEQ Figure \* ARABIC ">
        <w:r>
          <w:rPr>
            <w:noProof/>
          </w:rPr>
          <w:t>2</w:t>
        </w:r>
      </w:fldSimple>
      <w:bookmarkEnd w:id="1"/>
      <w:r>
        <w:t>: Η επανεξέταση απόφασης αποτελεί μέρος της διαδικασίας διαχείρισης χορήγησης αδειών</w:t>
      </w:r>
    </w:p>
    <w:p w14:paraId="5C736261" w14:textId="77777777" w:rsidR="00E12A02" w:rsidRDefault="00E12A02" w:rsidP="00DA38BA"/>
    <w:p w14:paraId="00C6CB05" w14:textId="27C90605" w:rsidR="00BD6415" w:rsidRDefault="008B0AD5" w:rsidP="009430BD">
      <w:r>
        <w:t xml:space="preserve">Στο </w:t>
      </w:r>
      <w:r>
        <w:fldChar w:fldCharType="begin"/>
      </w:r>
      <w:r>
        <w:instrText xml:space="preserve"> REF _Ref479253689 \h </w:instrText>
      </w:r>
      <w:r>
        <w:fldChar w:fldCharType="separate"/>
      </w:r>
      <w:r w:rsidR="00D30BAD">
        <w:t>Σχήμα</w:t>
      </w:r>
      <w:r>
        <w:t xml:space="preserve"> </w:t>
      </w:r>
      <w:r>
        <w:rPr>
          <w:noProof/>
        </w:rPr>
        <w:t>3</w:t>
      </w:r>
      <w:r>
        <w:fldChar w:fldCharType="end"/>
      </w:r>
      <w:r>
        <w:t xml:space="preserve"> παρουσιάζεται η υψηλού επιπέδο</w:t>
      </w:r>
      <w:bookmarkStart w:id="2" w:name="_GoBack"/>
      <w:bookmarkEnd w:id="2"/>
      <w:r>
        <w:t xml:space="preserve">υ επισκόπηση της διαδικασίας επανεξέτασης απόφασης. </w:t>
      </w:r>
    </w:p>
    <w:p w14:paraId="6419DB67" w14:textId="266D2CEC" w:rsidR="0014207A" w:rsidRDefault="00D30BAD" w:rsidP="009430BD">
      <w:pPr>
        <w:pStyle w:val="Caption"/>
        <w:keepNext/>
      </w:pPr>
      <w:bookmarkStart w:id="3" w:name="_Ref477957963"/>
      <w:bookmarkStart w:id="4" w:name="_Ref477957955"/>
      <w:r>
        <w:pict w14:anchorId="70A288F6">
          <v:shape id="_x0000_i1027" type="#_x0000_t75" style="width:453pt;height:2in">
            <v:imagedata r:id="rId14" o:title=""/>
          </v:shape>
        </w:pict>
      </w:r>
    </w:p>
    <w:p w14:paraId="02F117A1" w14:textId="064FBCF0" w:rsidR="00BD6415" w:rsidRDefault="0014207A" w:rsidP="00DC75A0">
      <w:pPr>
        <w:pStyle w:val="Caption"/>
      </w:pPr>
      <w:bookmarkStart w:id="5" w:name="_Ref479253689"/>
      <w:bookmarkStart w:id="6" w:name="_Ref479253659"/>
      <w:r>
        <w:t xml:space="preserve">Σχήμα </w:t>
      </w:r>
      <w:fldSimple w:instr=" SEQ Figure \* ARABIC ">
        <w:r>
          <w:rPr>
            <w:noProof/>
          </w:rPr>
          <w:t>3</w:t>
        </w:r>
      </w:fldSimple>
      <w:bookmarkEnd w:id="5"/>
      <w:r>
        <w:t>: Υψηλού επιπέδου επισκόπηση διαδικασίας επανεξέτασης απόφασης</w:t>
      </w:r>
      <w:bookmarkEnd w:id="6"/>
    </w:p>
    <w:bookmarkEnd w:id="3"/>
    <w:bookmarkEnd w:id="4"/>
    <w:p w14:paraId="549B12BB" w14:textId="77777777" w:rsidR="00DC75A0" w:rsidRDefault="00DC75A0" w:rsidP="00FF5BA8"/>
    <w:p w14:paraId="71C50930" w14:textId="77777777" w:rsidR="009C6CBA" w:rsidRDefault="009C6CBA" w:rsidP="00C84E6E"/>
    <w:p w14:paraId="288D3916" w14:textId="4D833A05" w:rsidR="00C84E6E" w:rsidRDefault="00C84E6E" w:rsidP="00C84E6E"/>
    <w:p w14:paraId="13E3B974" w14:textId="7D5A6CBE" w:rsidR="007547E4" w:rsidRDefault="007547E4" w:rsidP="00C84E6E">
      <w:r>
        <w:t xml:space="preserve">Η διαδικασία επανεξέτασης προκύπτει από την ανάγκη επανεξέτασης, η οποία προέρχεται από διάφορους ενδιαφερόμενους φορείς. Στον </w:t>
      </w:r>
      <w:r>
        <w:fldChar w:fldCharType="begin"/>
      </w:r>
      <w:r>
        <w:instrText xml:space="preserve"> REF _Ref477183759 \h </w:instrText>
      </w:r>
      <w:r>
        <w:fldChar w:fldCharType="separate"/>
      </w:r>
      <w:r w:rsidR="00D30BAD">
        <w:t>Πίνακα</w:t>
      </w:r>
      <w:r>
        <w:t xml:space="preserve"> </w:t>
      </w:r>
      <w:r>
        <w:rPr>
          <w:noProof/>
        </w:rPr>
        <w:t>1</w:t>
      </w:r>
      <w:r>
        <w:fldChar w:fldCharType="end"/>
      </w:r>
      <w:r>
        <w:t xml:space="preserve"> παρατίθενται όλοι οι λόγοι επανεξέτασης με τον επισημασμένο εντολέα.</w:t>
      </w:r>
    </w:p>
    <w:tbl>
      <w:tblPr>
        <w:tblStyle w:val="GridTable5Dark-Accent41"/>
        <w:tblW w:w="0" w:type="auto"/>
        <w:jc w:val="center"/>
        <w:tblLayout w:type="fixed"/>
        <w:tblLook w:val="0420" w:firstRow="1" w:lastRow="0" w:firstColumn="0" w:lastColumn="0" w:noHBand="0" w:noVBand="1"/>
      </w:tblPr>
      <w:tblGrid>
        <w:gridCol w:w="7196"/>
        <w:gridCol w:w="2092"/>
      </w:tblGrid>
      <w:tr w:rsidR="00C84E6E" w14:paraId="54135711" w14:textId="77777777" w:rsidTr="00F808D3">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CD3BCB6" w14:textId="45DF1A5A" w:rsidR="00C84E6E" w:rsidRDefault="00C84E6E" w:rsidP="00356850">
            <w:pPr>
              <w:keepNext/>
              <w:spacing w:before="120"/>
              <w:jc w:val="left"/>
            </w:pPr>
            <w:r>
              <w:t xml:space="preserve">Λόγος επανεξέτασης </w:t>
            </w:r>
          </w:p>
        </w:tc>
        <w:tc>
          <w:tcPr>
            <w:tcW w:w="2092" w:type="dxa"/>
            <w:vAlign w:val="center"/>
          </w:tcPr>
          <w:p w14:paraId="71FB6309" w14:textId="77777777" w:rsidR="00C84E6E" w:rsidRDefault="00C84E6E" w:rsidP="00356850">
            <w:pPr>
              <w:keepNext/>
              <w:spacing w:before="120"/>
              <w:jc w:val="center"/>
            </w:pPr>
            <w:r>
              <w:t xml:space="preserve">Εντολέας </w:t>
            </w:r>
          </w:p>
        </w:tc>
      </w:tr>
      <w:tr w:rsidR="00C84E6E" w14:paraId="21A951B3"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04FFF854" w14:textId="0766680E" w:rsidR="00C84E6E" w:rsidRDefault="000B061E" w:rsidP="00356850">
            <w:pPr>
              <w:keepNext/>
              <w:spacing w:before="60" w:afterLines="60" w:after="144"/>
            </w:pPr>
            <w:r>
              <w:t>Ο δικαιούχος υποβάλλει πληροφορίες, οι οποίες ενδέχεται να επηρεάσουν τη συνέχιση ή το περιεχόμενο της απόφασης</w:t>
            </w:r>
          </w:p>
        </w:tc>
        <w:tc>
          <w:tcPr>
            <w:tcW w:w="2092" w:type="dxa"/>
            <w:vAlign w:val="center"/>
          </w:tcPr>
          <w:p w14:paraId="6AE65720" w14:textId="0696D0A3" w:rsidR="00C84E6E" w:rsidRDefault="009B6A23" w:rsidP="00356850">
            <w:pPr>
              <w:keepNext/>
              <w:spacing w:before="60" w:afterLines="60" w:after="144"/>
              <w:jc w:val="center"/>
            </w:pPr>
            <w:r>
              <w:t>Συναλλασσόμενος</w:t>
            </w:r>
          </w:p>
        </w:tc>
      </w:tr>
      <w:tr w:rsidR="00C84E6E" w14:paraId="53C3EE73" w14:textId="77777777" w:rsidTr="00F808D3">
        <w:trPr>
          <w:jc w:val="center"/>
        </w:trPr>
        <w:tc>
          <w:tcPr>
            <w:tcW w:w="7196" w:type="dxa"/>
          </w:tcPr>
          <w:p w14:paraId="77B0093B" w14:textId="6BE86BB6" w:rsidR="00C84E6E" w:rsidRPr="00E75DB3" w:rsidRDefault="00DB100E" w:rsidP="00356850">
            <w:pPr>
              <w:keepNext/>
              <w:spacing w:before="60" w:afterLines="60" w:after="144"/>
            </w:pPr>
            <w:r>
              <w:t>Υπάρχουν σημαντικές αλλαγές στη νομοθεσία</w:t>
            </w:r>
          </w:p>
        </w:tc>
        <w:tc>
          <w:tcPr>
            <w:tcW w:w="2092" w:type="dxa"/>
            <w:vAlign w:val="center"/>
          </w:tcPr>
          <w:p w14:paraId="375F0808" w14:textId="49A94272" w:rsidR="00C84E6E" w:rsidRDefault="00C84E6E" w:rsidP="00356850">
            <w:pPr>
              <w:keepNext/>
              <w:spacing w:before="60" w:afterLines="60" w:after="144"/>
              <w:jc w:val="center"/>
            </w:pPr>
            <w:r>
              <w:t>Τελωνειακός υπάλληλος</w:t>
            </w:r>
          </w:p>
        </w:tc>
      </w:tr>
      <w:tr w:rsidR="00C84E6E" w14:paraId="2898EA4D"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1E9F9FED" w14:textId="76197694" w:rsidR="00C84E6E" w:rsidRPr="00E75DB3" w:rsidRDefault="00DB100E" w:rsidP="00356850">
            <w:pPr>
              <w:keepNext/>
              <w:spacing w:before="60" w:afterLines="60" w:after="144"/>
            </w:pPr>
            <w:r>
              <w:t>Τα αποτελέσματα της παρακολούθησης υποδεικνύουν ότι η απόφαση θα πρέπει να επανεξεταστεί</w:t>
            </w:r>
          </w:p>
        </w:tc>
        <w:tc>
          <w:tcPr>
            <w:tcW w:w="2092" w:type="dxa"/>
            <w:vAlign w:val="center"/>
          </w:tcPr>
          <w:p w14:paraId="6CC6FB05" w14:textId="0856C52A" w:rsidR="00C84E6E" w:rsidRDefault="00C84E6E" w:rsidP="00356850">
            <w:pPr>
              <w:keepNext/>
              <w:spacing w:before="60" w:afterLines="60" w:after="144"/>
              <w:jc w:val="center"/>
            </w:pPr>
            <w:r>
              <w:t>Τελωνειακός υπάλληλος</w:t>
            </w:r>
          </w:p>
        </w:tc>
      </w:tr>
      <w:tr w:rsidR="00DF2281" w14:paraId="68FEAD91" w14:textId="77777777" w:rsidTr="001748C2">
        <w:trPr>
          <w:jc w:val="center"/>
        </w:trPr>
        <w:tc>
          <w:tcPr>
            <w:tcW w:w="0" w:type="dxa"/>
          </w:tcPr>
          <w:p w14:paraId="394C5D94" w14:textId="30466407" w:rsidR="00DF2281" w:rsidRDefault="00DF2281" w:rsidP="00356850">
            <w:pPr>
              <w:keepNext/>
              <w:spacing w:before="60" w:afterLines="60" w:after="144"/>
            </w:pPr>
            <w:r>
              <w:t>Ο δικαιούχος δεν χρησιμοποιεί τακτικά ενωσιακά καθεστώτα διαμετακόμισης ή οι τελωνειακές αρχές δεν είναι βέβαιες αν ο δικαιούχος τηρεί τις υποχρεώσεις που απορρέουν από τα καθεστώτα.</w:t>
            </w:r>
            <w:bookmarkStart w:id="7" w:name="_Ref481511397"/>
            <w:bookmarkStart w:id="8" w:name="_Ref481511289"/>
            <w:r>
              <w:rPr>
                <w:rStyle w:val="FootnoteReference"/>
              </w:rPr>
              <w:footnoteReference w:id="2"/>
            </w:r>
            <w:bookmarkEnd w:id="7"/>
            <w:bookmarkEnd w:id="8"/>
          </w:p>
        </w:tc>
        <w:tc>
          <w:tcPr>
            <w:tcW w:w="0" w:type="dxa"/>
          </w:tcPr>
          <w:p w14:paraId="41AEC66A" w14:textId="27C634AC" w:rsidR="00DF2281" w:rsidRDefault="00DF2281" w:rsidP="00356850">
            <w:pPr>
              <w:keepNext/>
              <w:spacing w:before="60" w:afterLines="60" w:after="144"/>
              <w:jc w:val="center"/>
            </w:pPr>
            <w:r>
              <w:t>Τελωνειακός υπάλληλος</w:t>
            </w:r>
          </w:p>
        </w:tc>
      </w:tr>
      <w:tr w:rsidR="00DF2281" w14:paraId="20E44287" w14:textId="77777777" w:rsidTr="001748C2">
        <w:trPr>
          <w:cnfStyle w:val="000000100000" w:firstRow="0" w:lastRow="0" w:firstColumn="0" w:lastColumn="0" w:oddVBand="0" w:evenVBand="0" w:oddHBand="1" w:evenHBand="0" w:firstRowFirstColumn="0" w:firstRowLastColumn="0" w:lastRowFirstColumn="0" w:lastRowLastColumn="0"/>
          <w:jc w:val="center"/>
        </w:trPr>
        <w:tc>
          <w:tcPr>
            <w:tcW w:w="0" w:type="dxa"/>
          </w:tcPr>
          <w:p w14:paraId="7968900E" w14:textId="4C71458D" w:rsidR="00DF2281" w:rsidRDefault="00DF2281" w:rsidP="00356850">
            <w:pPr>
              <w:keepNext/>
              <w:spacing w:before="60" w:afterLines="60" w:after="144"/>
            </w:pPr>
            <w:r>
              <w:t>Οι τελωνειακές αρχές δεν είναι βέβαιες αν ο δικαιούχος συμμορφώνεται με τους τελωνειακούς και φορολογικούς κανόνες. Ικανοποιητικό σύστημα διαχείρισης των εμπορικών και μεταφορικών καταχωρίσεων</w:t>
            </w:r>
            <w:r>
              <w:rPr>
                <w:vertAlign w:val="superscript"/>
              </w:rPr>
              <w:fldChar w:fldCharType="begin"/>
            </w:r>
            <w:r>
              <w:rPr>
                <w:vertAlign w:val="superscript"/>
              </w:rPr>
              <w:instrText xml:space="preserve"> NOTEREF  _Ref481511397  \* MERGEFORMAT </w:instrText>
            </w:r>
            <w:r>
              <w:rPr>
                <w:vertAlign w:val="superscript"/>
              </w:rPr>
              <w:fldChar w:fldCharType="separate"/>
            </w:r>
            <w:r>
              <w:rPr>
                <w:vertAlign w:val="superscript"/>
              </w:rPr>
              <w:t>1</w:t>
            </w:r>
            <w:r>
              <w:rPr>
                <w:vertAlign w:val="superscript"/>
              </w:rPr>
              <w:fldChar w:fldCharType="end"/>
            </w:r>
          </w:p>
        </w:tc>
        <w:tc>
          <w:tcPr>
            <w:tcW w:w="0" w:type="dxa"/>
          </w:tcPr>
          <w:p w14:paraId="3B6B5D3A" w14:textId="68B86A06" w:rsidR="00DF2281" w:rsidRDefault="00DF2281" w:rsidP="00356850">
            <w:pPr>
              <w:keepNext/>
              <w:spacing w:before="60" w:afterLines="60" w:after="144"/>
              <w:jc w:val="center"/>
            </w:pPr>
            <w:r>
              <w:t>Τελωνειακός υπάλληλος</w:t>
            </w:r>
          </w:p>
        </w:tc>
      </w:tr>
      <w:tr w:rsidR="00DF2281" w14:paraId="093D11ED" w14:textId="77777777" w:rsidTr="00F808D3">
        <w:trPr>
          <w:jc w:val="center"/>
        </w:trPr>
        <w:tc>
          <w:tcPr>
            <w:tcW w:w="7196" w:type="dxa"/>
          </w:tcPr>
          <w:p w14:paraId="0D614CA4" w14:textId="20317B17" w:rsidR="00DF2281" w:rsidRPr="00E75DB3" w:rsidRDefault="00DF2281" w:rsidP="00356850">
            <w:pPr>
              <w:keepNext/>
              <w:spacing w:before="60" w:afterLines="60" w:after="144"/>
            </w:pPr>
            <w:r>
              <w:t>Το εμπλεκόμενο κράτος μέλος υποβάλλει πληροφορίες, οι οποίες ενδέχεται να επηρεάσουν τη συνέχιση ή το περιεχόμενο της απόφασης</w:t>
            </w:r>
          </w:p>
        </w:tc>
        <w:tc>
          <w:tcPr>
            <w:tcW w:w="2092" w:type="dxa"/>
          </w:tcPr>
          <w:p w14:paraId="68C5D9B0" w14:textId="1C10C2C7" w:rsidR="00DF2281" w:rsidRDefault="00DF2281" w:rsidP="00356850">
            <w:pPr>
              <w:keepNext/>
              <w:spacing w:before="60" w:afterLines="60" w:after="144"/>
              <w:jc w:val="center"/>
            </w:pPr>
            <w:r>
              <w:t>Εμπλεκόμενο κράτος μέλος</w:t>
            </w:r>
          </w:p>
        </w:tc>
      </w:tr>
      <w:tr w:rsidR="00DF2281" w14:paraId="43F50D53"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12DB3F6" w14:textId="20D56D05" w:rsidR="00DF2281" w:rsidRDefault="00DF2281" w:rsidP="00356850">
            <w:pPr>
              <w:keepNext/>
              <w:spacing w:before="60" w:afterLines="60" w:after="144"/>
            </w:pPr>
            <w:r>
              <w:t>Η άλλη αρχή υποβάλλει πληροφορίες, οι οποίες ενδέχεται να επηρεάσουν τη συνέχιση ή το περιεχόμενο της απόφασης</w:t>
            </w:r>
          </w:p>
        </w:tc>
        <w:tc>
          <w:tcPr>
            <w:tcW w:w="2092" w:type="dxa"/>
          </w:tcPr>
          <w:p w14:paraId="415DBBA9" w14:textId="6C2D07A9" w:rsidR="00DF2281" w:rsidRDefault="00DF2281" w:rsidP="00356850">
            <w:pPr>
              <w:keepNext/>
              <w:spacing w:before="60" w:afterLines="60" w:after="144"/>
              <w:jc w:val="center"/>
            </w:pPr>
            <w:r>
              <w:t>Άλλη αρχή</w:t>
            </w:r>
          </w:p>
        </w:tc>
      </w:tr>
      <w:tr w:rsidR="00DF2281" w14:paraId="3366BB2F" w14:textId="77777777" w:rsidTr="00F808D3">
        <w:trPr>
          <w:jc w:val="center"/>
        </w:trPr>
        <w:tc>
          <w:tcPr>
            <w:tcW w:w="7196" w:type="dxa"/>
          </w:tcPr>
          <w:p w14:paraId="3A92F4C1" w14:textId="340E49C7" w:rsidR="00DF2281" w:rsidRDefault="00DF2281" w:rsidP="00356850">
            <w:pPr>
              <w:keepNext/>
              <w:spacing w:before="60" w:afterLines="60" w:after="144"/>
            </w:pPr>
            <w:r>
              <w:t>Ανακληθείσα άδεια ΑΕΟ</w:t>
            </w:r>
            <w:r>
              <w:rPr>
                <w:rStyle w:val="FootnoteReference"/>
              </w:rPr>
              <w:footnoteReference w:id="3"/>
            </w:r>
          </w:p>
        </w:tc>
        <w:tc>
          <w:tcPr>
            <w:tcW w:w="2092" w:type="dxa"/>
          </w:tcPr>
          <w:p w14:paraId="32C46516" w14:textId="7F07A3C2" w:rsidR="00DF2281" w:rsidRDefault="00DF2281" w:rsidP="00356850">
            <w:pPr>
              <w:keepNext/>
              <w:spacing w:before="60" w:afterLines="60" w:after="144"/>
              <w:jc w:val="center"/>
            </w:pPr>
            <w:r>
              <w:t>Σύστημα τελωνειακών αποφάσεων</w:t>
            </w:r>
          </w:p>
        </w:tc>
      </w:tr>
    </w:tbl>
    <w:p w14:paraId="36E2C5A9" w14:textId="7D3DE7FE" w:rsidR="00C84E6E" w:rsidRDefault="00C84E6E" w:rsidP="00C84E6E">
      <w:pPr>
        <w:pStyle w:val="Caption"/>
      </w:pPr>
      <w:bookmarkStart w:id="9" w:name="_Ref477183759"/>
      <w:r>
        <w:t>Πίνακας </w:t>
      </w:r>
      <w:fldSimple w:instr=" SEQ Table \* ARABIC ">
        <w:r>
          <w:rPr>
            <w:noProof/>
          </w:rPr>
          <w:t>1</w:t>
        </w:r>
      </w:fldSimple>
      <w:bookmarkEnd w:id="9"/>
      <w:r>
        <w:t xml:space="preserve"> Λόγοι επανεξέτασης της άδειας</w:t>
      </w:r>
    </w:p>
    <w:p w14:paraId="2B4F3002" w14:textId="77777777" w:rsidR="004F3F31" w:rsidRPr="004F3F31" w:rsidRDefault="004F3F31" w:rsidP="004F3F31"/>
    <w:p w14:paraId="3E184F9F" w14:textId="519ADF67" w:rsidR="00721219" w:rsidRDefault="004F3F31" w:rsidP="00670FA6">
      <w:r>
        <w:rPr>
          <w:noProof/>
          <w:lang w:val="en-GB" w:eastAsia="en-GB" w:bidi="ar-SA"/>
        </w:rPr>
        <mc:AlternateContent>
          <mc:Choice Requires="wps">
            <w:drawing>
              <wp:inline distT="0" distB="0" distL="0" distR="0" wp14:anchorId="3D794B5C" wp14:editId="714CD333">
                <wp:extent cx="5748793" cy="484496"/>
                <wp:effectExtent l="19050" t="19050" r="2349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484496"/>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31C790B" w14:textId="2C066272" w:rsidR="00F808D3" w:rsidRPr="009C6CBA" w:rsidRDefault="00F808D3" w:rsidP="004F3F31">
                            <w:r>
                              <w:rPr>
                                <w:noProof/>
                                <w:color w:val="806000" w:themeColor="accent4" w:themeShade="80"/>
                                <w:position w:val="-20"/>
                                <w:sz w:val="18"/>
                                <w:szCs w:val="18"/>
                                <w:lang w:val="en-GB" w:eastAsia="en-GB" w:bidi="ar-SA"/>
                              </w:rPr>
                              <w:drawing>
                                <wp:inline distT="0" distB="0" distL="0" distR="0" wp14:anchorId="165C5FEF" wp14:editId="70D90B7E">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6"/>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rPr>
                              <w:t>Η διαδικασία επανεξέτασης μπορεί να κινηθεί μόνο εάν η κατάσταση της απόφασης είναι ενεργή.</w:t>
                            </w:r>
                          </w:p>
                        </w:txbxContent>
                      </wps:txbx>
                      <wps:bodyPr rot="0" vert="horz" wrap="square" lIns="90000" tIns="0" rIns="91440" bIns="0" anchor="ctr" anchorCtr="0">
                        <a:no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3D794B5C" id="Text Box 2" o:spid="_x0000_s1026" style="width:452.65pt;height:3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" fillcolor="#ffc000" strokecolor="#ffd966 [1943]" strokeweight="2.25pt">
                <v:stroke joinstyle="miter"/>
                <v:textbox inset="2.5mm,0,,0">
                  <w:txbxContent>
                    <w:p w14:paraId="231C790B" w14:textId="2C066272" w:rsidR="00F808D3" w:rsidRPr="009C6CBA" w:rsidRDefault="00F808D3" w:rsidP="004F3F31">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165C5FEF" wp14:editId="70D90B7E">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rFonts/>
                          <w:color w:val="806000" w:themeColor="accent4" w:themeShade="80"/>
                        </w:rPr>
                        <w:t>Η διαδικασία επανεξέτασης μπορεί να κινηθεί μόνο εάν η κατάσταση της απόφασης είναι ενεργή.</w:t>
                      </w:r>
                    </w:p>
                  </w:txbxContent>
                </v:textbox>
                <w10:anchorlock xmlns:w10="urn:schemas-microsoft-com:office:word"/>
              </v:roundrect>
            </w:pict>
          </mc:Fallback>
        </mc:AlternateContent>
      </w:r>
    </w:p>
    <w:p w14:paraId="049D6B9F" w14:textId="77777777" w:rsidR="00770128" w:rsidRDefault="00770128" w:rsidP="00670FA6"/>
    <w:p w14:paraId="129A6ABA" w14:textId="06411FD9" w:rsidR="00615AA5" w:rsidRDefault="00615AA5" w:rsidP="00615AA5">
      <w:r>
        <w:t>Εάν η διαδικασία δεν κινηθεί από τον τελωνειακό υπάλληλο, θα πρέπει πρώτα να επαληθεύσει ότι οι ληφθείσες πληροφορίες απαιτούν επανεξέταση. Εάν όχι, μπορεί να λάβει την απόφαση να κινήσει μια άλλη διαδικασία (τροποποίηση, ακύρωση, ανάκληση, αναστολή).</w:t>
      </w:r>
    </w:p>
    <w:p w14:paraId="48FD1E0A" w14:textId="4BB47131" w:rsidR="00615AA5" w:rsidRDefault="00615AA5" w:rsidP="00615AA5">
      <w:r>
        <w:t>Εάν η διαδικασία κινηθεί από τον τελωνειακό υπάλληλο, καταχωρίζει την πρόθεσή του για επανεξέταση, μαζί με τον λόγο επανεξέτασης.</w:t>
      </w:r>
    </w:p>
    <w:p w14:paraId="31762F83" w14:textId="77777777" w:rsidR="00615AA5" w:rsidRDefault="00615AA5" w:rsidP="00615AA5">
      <w:r>
        <w:t>Σε αμφότερες τις περιπτώσεις, ο συναλλασσόμενος ενημερώνεται στη συνέχεια σχετικά με την επανεξέταση.</w:t>
      </w:r>
    </w:p>
    <w:p w14:paraId="6B616632" w14:textId="1F281336" w:rsidR="00615AA5" w:rsidRDefault="00D06934" w:rsidP="00670FA6">
      <w:r>
        <w:t xml:space="preserve">Στη συνέχεια, ο τελωνειακός υπάλληλος ελέγχει αν εξακολουθούν να ισχύουν οι προϋποθέσεις και τα κριτήρια που επαληθεύτηκαν πριν από τη χορήγηση της απόφασης. Επίσης, εάν εμπλέκονται </w:t>
      </w:r>
      <w:r>
        <w:lastRenderedPageBreak/>
        <w:t>περισσότερα του ενός κράτη μέλη, ο τελωνειακός υπάλληλος μπορεί να αποφασίσει να προχωρήσει σε διαβούλευση μαζί τους (η διαδικασία διαβούλευσης περιγράφεται στους οδηγούς χρήσης «Διαβούλευση με τα εμπλεκόμενα κράτη μέλη»).</w:t>
      </w:r>
    </w:p>
    <w:p w14:paraId="47D4F1D5" w14:textId="0AE3FE83" w:rsidR="0021102D" w:rsidRDefault="00AA6ABA" w:rsidP="0021102D">
      <w:r>
        <w:t>Μετά την επαλήθευση των προϋποθέσεων και των κριτηρίων και τη διεξαγωγή των διαβουλεύσεων (κατά περίπτωση), ο τελωνειακός υπάλληλος της αρμόδιας για τη λήψη απόφασης τελωνειακής αρχής έχει στη διάθεσή του όλα τα στοιχεία για να αποφανθεί αν η απόφαση πρόκειται να παραμένει ενεργή, να ανακληθεί, να ακυρωθεί, να ανασταλεί ή να τροποποιηθεί. Εν συνεχεία, καταχωρίζει το αποτέλεσμα της επανεξέτασης μαζί με την ισχύ της απόφασης (εφόσον συντρέχει περίπτωση).</w:t>
      </w:r>
    </w:p>
    <w:p w14:paraId="38AA2F8E" w14:textId="657A7364" w:rsidR="0021102D" w:rsidRDefault="0021102D" w:rsidP="0021102D">
      <w:r>
        <w:t>Εάν ο τελωνειακός υπάλληλος διαπιστώσει ότι εξακολουθούν να πληρούνται οι προϋποθέσεις και τα κριτήρια και το αποτέλεσμα της επανεξέτασης είναι η διατήρηση της απόφασης ως ενεργής, ο δικαιούχος ενημερώνεται σχετικά.</w:t>
      </w:r>
    </w:p>
    <w:p w14:paraId="3500ED1B" w14:textId="3E08AA84" w:rsidR="00EA3DE2" w:rsidRDefault="00B04D41" w:rsidP="0021102D">
      <w:r>
        <w:t>Διαφορετικά, εάν η απόφαση πρόκειται να ανακληθεί, να τροποποιηθεί, να ανασταλεί ή να ακυρωθεί, κινείται η αντίστοιχη διαδικασία. Ο δικαιούχος της άδειας θα ενημερωθεί σχετικά με την κατάλληλη διαδικασία.</w:t>
      </w:r>
    </w:p>
    <w:p w14:paraId="2EFE9A47" w14:textId="5EAD3F82" w:rsidR="0021102D" w:rsidRPr="00C84E6E" w:rsidRDefault="0021102D" w:rsidP="00670FA6"/>
    <w:sectPr w:rsidR="0021102D" w:rsidRPr="00C84E6E"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702F" w14:textId="77777777" w:rsidR="00F808D3" w:rsidRDefault="00F808D3">
      <w:r>
        <w:separator/>
      </w:r>
    </w:p>
  </w:endnote>
  <w:endnote w:type="continuationSeparator" w:id="0">
    <w:p w14:paraId="48ED6DAA" w14:textId="77777777" w:rsidR="00F808D3" w:rsidRDefault="00F808D3">
      <w:r>
        <w:continuationSeparator/>
      </w:r>
    </w:p>
  </w:endnote>
  <w:endnote w:type="continuationNotice" w:id="1">
    <w:p w14:paraId="53EB9D91" w14:textId="77777777" w:rsidR="00E12ED6" w:rsidRDefault="00E12E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604E2902" w14:textId="1DEC799E" w:rsidR="00F808D3" w:rsidRDefault="00F808D3" w:rsidP="00754C64">
        <w:pPr>
          <w:pStyle w:val="Footer"/>
          <w:jc w:val="center"/>
        </w:pPr>
        <w:r>
          <w:fldChar w:fldCharType="begin"/>
        </w:r>
        <w:r>
          <w:instrText xml:space="preserve"> PAGE   \* MERGEFORMAT </w:instrText>
        </w:r>
        <w:r>
          <w:fldChar w:fldCharType="separate"/>
        </w:r>
        <w:r w:rsidR="00D30BA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7FE02" w14:textId="77777777" w:rsidR="00F808D3" w:rsidRDefault="00F808D3">
      <w:r>
        <w:separator/>
      </w:r>
    </w:p>
  </w:footnote>
  <w:footnote w:type="continuationSeparator" w:id="0">
    <w:p w14:paraId="2EA713FD" w14:textId="77777777" w:rsidR="00F808D3" w:rsidRDefault="00F808D3">
      <w:r>
        <w:continuationSeparator/>
      </w:r>
    </w:p>
  </w:footnote>
  <w:footnote w:type="continuationNotice" w:id="1">
    <w:p w14:paraId="20DFDDF6" w14:textId="77777777" w:rsidR="00E12ED6" w:rsidRDefault="00E12ED6">
      <w:pPr>
        <w:spacing w:after="0"/>
      </w:pPr>
    </w:p>
  </w:footnote>
  <w:footnote w:id="2">
    <w:p w14:paraId="4AB320C2" w14:textId="77777777" w:rsidR="001748C2" w:rsidRPr="009F207F" w:rsidRDefault="001748C2" w:rsidP="001748C2">
      <w:pPr>
        <w:pStyle w:val="FootnoteText"/>
      </w:pPr>
      <w:r>
        <w:rPr>
          <w:rStyle w:val="FootnoteReference"/>
        </w:rPr>
        <w:footnoteRef/>
      </w:r>
      <w:r>
        <w:t xml:space="preserve"> Αυτό ισχύει μόνο στο πλαίσιο της «Διαμετακόμισης»</w:t>
      </w:r>
    </w:p>
  </w:footnote>
  <w:footnote w:id="3">
    <w:p w14:paraId="11DFB8E6" w14:textId="77777777" w:rsidR="001748C2" w:rsidRPr="009F207F" w:rsidRDefault="001748C2" w:rsidP="001748C2">
      <w:pPr>
        <w:pStyle w:val="FootnoteText"/>
      </w:pPr>
      <w:r>
        <w:rPr>
          <w:rStyle w:val="FootnoteReference"/>
        </w:rPr>
        <w:footnoteRef/>
      </w:r>
      <w:r>
        <w:t xml:space="preserve"> Αυτό ισχύει μόνο στο πλαίσιο της «Υπαγωγής των εμπορευμάτων σε τελωνειακό καθεστώς και της προσωρινής εναπόθεσης»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F808D3" w:rsidRPr="00D6659F" w:rsidRDefault="00F808D3" w:rsidP="009A5DA5">
    <w:pPr>
      <w:pStyle w:val="Header"/>
    </w:pPr>
  </w:p>
  <w:p w14:paraId="1317932C" w14:textId="77777777" w:rsidR="00F808D3" w:rsidRPr="008C7CBE" w:rsidRDefault="00F808D3" w:rsidP="009A5DA5">
    <w:pPr>
      <w:pStyle w:val="Header"/>
    </w:pPr>
  </w:p>
  <w:p w14:paraId="0A75C38C" w14:textId="77777777" w:rsidR="00F808D3" w:rsidRPr="009A5DA5" w:rsidRDefault="00F808D3" w:rsidP="009A5DA5">
    <w:pPr>
      <w:pStyle w:val="Header"/>
    </w:pPr>
  </w:p>
  <w:p w14:paraId="62DB8D0D" w14:textId="77777777" w:rsidR="00F808D3" w:rsidRDefault="00F80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49FCB992"/>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5A2FBE"/>
    <w:multiLevelType w:val="hybridMultilevel"/>
    <w:tmpl w:val="748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A1BC3"/>
    <w:multiLevelType w:val="hybridMultilevel"/>
    <w:tmpl w:val="A18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9FF697F"/>
    <w:multiLevelType w:val="hybridMultilevel"/>
    <w:tmpl w:val="E1A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AA3354"/>
    <w:multiLevelType w:val="hybridMultilevel"/>
    <w:tmpl w:val="A6769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nsid w:val="7BE85482"/>
    <w:multiLevelType w:val="hybridMultilevel"/>
    <w:tmpl w:val="009CD670"/>
    <w:lvl w:ilvl="0" w:tplc="7CF8A7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0"/>
  </w:num>
  <w:num w:numId="5">
    <w:abstractNumId w:val="21"/>
  </w:num>
  <w:num w:numId="6">
    <w:abstractNumId w:val="1"/>
  </w:num>
  <w:num w:numId="7">
    <w:abstractNumId w:val="3"/>
  </w:num>
  <w:num w:numId="8">
    <w:abstractNumId w:val="41"/>
  </w:num>
  <w:num w:numId="9">
    <w:abstractNumId w:val="34"/>
  </w:num>
  <w:num w:numId="10">
    <w:abstractNumId w:val="32"/>
  </w:num>
  <w:num w:numId="11">
    <w:abstractNumId w:val="25"/>
  </w:num>
  <w:num w:numId="12">
    <w:abstractNumId w:val="38"/>
  </w:num>
  <w:num w:numId="13">
    <w:abstractNumId w:val="23"/>
  </w:num>
  <w:num w:numId="14">
    <w:abstractNumId w:val="16"/>
  </w:num>
  <w:num w:numId="15">
    <w:abstractNumId w:val="20"/>
  </w:num>
  <w:num w:numId="16">
    <w:abstractNumId w:val="5"/>
  </w:num>
  <w:num w:numId="17">
    <w:abstractNumId w:val="17"/>
  </w:num>
  <w:num w:numId="18">
    <w:abstractNumId w:val="29"/>
  </w:num>
  <w:num w:numId="19">
    <w:abstractNumId w:val="47"/>
  </w:num>
  <w:num w:numId="20">
    <w:abstractNumId w:val="18"/>
  </w:num>
  <w:num w:numId="21">
    <w:abstractNumId w:val="40"/>
  </w:num>
  <w:num w:numId="22">
    <w:abstractNumId w:val="28"/>
  </w:num>
  <w:num w:numId="23">
    <w:abstractNumId w:val="37"/>
  </w:num>
  <w:num w:numId="24">
    <w:abstractNumId w:val="30"/>
  </w:num>
  <w:num w:numId="25">
    <w:abstractNumId w:val="35"/>
  </w:num>
  <w:num w:numId="26">
    <w:abstractNumId w:val="42"/>
  </w:num>
  <w:num w:numId="27">
    <w:abstractNumId w:val="33"/>
  </w:num>
  <w:num w:numId="28">
    <w:abstractNumId w:val="8"/>
  </w:num>
  <w:num w:numId="29">
    <w:abstractNumId w:val="15"/>
  </w:num>
  <w:num w:numId="30">
    <w:abstractNumId w:val="36"/>
  </w:num>
  <w:num w:numId="31">
    <w:abstractNumId w:val="44"/>
  </w:num>
  <w:num w:numId="32">
    <w:abstractNumId w:val="45"/>
  </w:num>
  <w:num w:numId="33">
    <w:abstractNumId w:val="19"/>
  </w:num>
  <w:num w:numId="34">
    <w:abstractNumId w:val="24"/>
  </w:num>
  <w:num w:numId="35">
    <w:abstractNumId w:val="26"/>
  </w:num>
  <w:num w:numId="36">
    <w:abstractNumId w:val="27"/>
  </w:num>
  <w:num w:numId="37">
    <w:abstractNumId w:val="13"/>
  </w:num>
  <w:num w:numId="38">
    <w:abstractNumId w:val="11"/>
  </w:num>
  <w:num w:numId="39">
    <w:abstractNumId w:val="31"/>
  </w:num>
  <w:num w:numId="40">
    <w:abstractNumId w:val="39"/>
  </w:num>
  <w:num w:numId="41">
    <w:abstractNumId w:val="7"/>
  </w:num>
  <w:num w:numId="42">
    <w:abstractNumId w:val="10"/>
  </w:num>
  <w:num w:numId="43">
    <w:abstractNumId w:val="6"/>
  </w:num>
  <w:num w:numId="44">
    <w:abstractNumId w:val="9"/>
  </w:num>
  <w:num w:numId="45">
    <w:abstractNumId w:val="14"/>
  </w:num>
  <w:num w:numId="46">
    <w:abstractNumId w:val="22"/>
  </w:num>
  <w:num w:numId="47">
    <w:abstractNumId w:val="46"/>
  </w:num>
  <w:num w:numId="4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o:colormru v:ext="edit" colors="#f5f5f5,#e0e0e0,#cdcdcd,#aeaea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14C"/>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0C8"/>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75A"/>
    <w:rsid w:val="00023989"/>
    <w:rsid w:val="00023EDD"/>
    <w:rsid w:val="000240D8"/>
    <w:rsid w:val="00024411"/>
    <w:rsid w:val="000247A5"/>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93"/>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61E"/>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0A31"/>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B93"/>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0E6B"/>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07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3D57"/>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8C2"/>
    <w:rsid w:val="00174C12"/>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5AF"/>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A37"/>
    <w:rsid w:val="001C1D1D"/>
    <w:rsid w:val="001C1DA3"/>
    <w:rsid w:val="001C1FA1"/>
    <w:rsid w:val="001C2368"/>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69D"/>
    <w:rsid w:val="001D48D3"/>
    <w:rsid w:val="001D4EB2"/>
    <w:rsid w:val="001D583C"/>
    <w:rsid w:val="001D5915"/>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106"/>
    <w:rsid w:val="00207477"/>
    <w:rsid w:val="0020762A"/>
    <w:rsid w:val="00207D55"/>
    <w:rsid w:val="00207FC8"/>
    <w:rsid w:val="00210E95"/>
    <w:rsid w:val="0021102D"/>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10D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DE"/>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078AC"/>
    <w:rsid w:val="003104A1"/>
    <w:rsid w:val="003104F5"/>
    <w:rsid w:val="00310733"/>
    <w:rsid w:val="00310A4C"/>
    <w:rsid w:val="00310C61"/>
    <w:rsid w:val="0031111B"/>
    <w:rsid w:val="003111AA"/>
    <w:rsid w:val="003114A8"/>
    <w:rsid w:val="00311B54"/>
    <w:rsid w:val="00311ED4"/>
    <w:rsid w:val="00312597"/>
    <w:rsid w:val="00312878"/>
    <w:rsid w:val="00313227"/>
    <w:rsid w:val="0031372C"/>
    <w:rsid w:val="00313970"/>
    <w:rsid w:val="00313B0B"/>
    <w:rsid w:val="00313D6F"/>
    <w:rsid w:val="0031429B"/>
    <w:rsid w:val="00314842"/>
    <w:rsid w:val="00314BE5"/>
    <w:rsid w:val="00314E0D"/>
    <w:rsid w:val="00314EB9"/>
    <w:rsid w:val="003155A2"/>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14"/>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90B"/>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4BA"/>
    <w:rsid w:val="003557BF"/>
    <w:rsid w:val="0035623A"/>
    <w:rsid w:val="0035628D"/>
    <w:rsid w:val="003563DD"/>
    <w:rsid w:val="00356850"/>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0F8A"/>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7DF"/>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69F"/>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21"/>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245"/>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3F31"/>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0AB"/>
    <w:rsid w:val="0052612B"/>
    <w:rsid w:val="0052624B"/>
    <w:rsid w:val="0052677C"/>
    <w:rsid w:val="00526ADF"/>
    <w:rsid w:val="00526E0A"/>
    <w:rsid w:val="00527263"/>
    <w:rsid w:val="005274E0"/>
    <w:rsid w:val="00527AF9"/>
    <w:rsid w:val="00530266"/>
    <w:rsid w:val="00530812"/>
    <w:rsid w:val="00530EB1"/>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175"/>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774"/>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551"/>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139"/>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387A"/>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99F"/>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0BB"/>
    <w:rsid w:val="006158DF"/>
    <w:rsid w:val="00615AA5"/>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A1"/>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0FA6"/>
    <w:rsid w:val="006714D2"/>
    <w:rsid w:val="00671F80"/>
    <w:rsid w:val="0067204E"/>
    <w:rsid w:val="006721E5"/>
    <w:rsid w:val="0067285B"/>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21E"/>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469"/>
    <w:rsid w:val="006E1508"/>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C0"/>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1664"/>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219"/>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7E4"/>
    <w:rsid w:val="00754953"/>
    <w:rsid w:val="00754C64"/>
    <w:rsid w:val="007552E6"/>
    <w:rsid w:val="007555CC"/>
    <w:rsid w:val="00755781"/>
    <w:rsid w:val="00755C50"/>
    <w:rsid w:val="00755F86"/>
    <w:rsid w:val="007569F2"/>
    <w:rsid w:val="00756F0A"/>
    <w:rsid w:val="00757180"/>
    <w:rsid w:val="00757AE8"/>
    <w:rsid w:val="00757D4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128"/>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97F"/>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C7B1C"/>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32B"/>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3B9"/>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AD5"/>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340"/>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6D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253"/>
    <w:rsid w:val="009123E0"/>
    <w:rsid w:val="00912D30"/>
    <w:rsid w:val="00912DFD"/>
    <w:rsid w:val="0091355A"/>
    <w:rsid w:val="00914453"/>
    <w:rsid w:val="00914CD2"/>
    <w:rsid w:val="00914D8E"/>
    <w:rsid w:val="009158CF"/>
    <w:rsid w:val="00915A6A"/>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0BD"/>
    <w:rsid w:val="009432D6"/>
    <w:rsid w:val="00943418"/>
    <w:rsid w:val="009434A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B3A"/>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A23"/>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6CBA"/>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26"/>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3B3"/>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7F"/>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9F7F41"/>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656"/>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9BC"/>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89D"/>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ABA"/>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C34"/>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41"/>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471D2"/>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BBE"/>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6CF"/>
    <w:rsid w:val="00BC491B"/>
    <w:rsid w:val="00BC4B06"/>
    <w:rsid w:val="00BC4C55"/>
    <w:rsid w:val="00BC4D02"/>
    <w:rsid w:val="00BC558D"/>
    <w:rsid w:val="00BC5CEA"/>
    <w:rsid w:val="00BC6628"/>
    <w:rsid w:val="00BC7025"/>
    <w:rsid w:val="00BC75F3"/>
    <w:rsid w:val="00BC7891"/>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415"/>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0F"/>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043"/>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4E6E"/>
    <w:rsid w:val="00C8645A"/>
    <w:rsid w:val="00C8696B"/>
    <w:rsid w:val="00C86C52"/>
    <w:rsid w:val="00C87F87"/>
    <w:rsid w:val="00C9046A"/>
    <w:rsid w:val="00C9059D"/>
    <w:rsid w:val="00C90827"/>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6934"/>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567"/>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BAD"/>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ADA"/>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0E"/>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5A0"/>
    <w:rsid w:val="00DC7891"/>
    <w:rsid w:val="00DC7A67"/>
    <w:rsid w:val="00DC7BC0"/>
    <w:rsid w:val="00DC7CF1"/>
    <w:rsid w:val="00DD01D5"/>
    <w:rsid w:val="00DD0687"/>
    <w:rsid w:val="00DD19B0"/>
    <w:rsid w:val="00DD1B5E"/>
    <w:rsid w:val="00DD1F6E"/>
    <w:rsid w:val="00DD2620"/>
    <w:rsid w:val="00DD2A45"/>
    <w:rsid w:val="00DD3062"/>
    <w:rsid w:val="00DD31B5"/>
    <w:rsid w:val="00DD3429"/>
    <w:rsid w:val="00DD36D4"/>
    <w:rsid w:val="00DD3769"/>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071A"/>
    <w:rsid w:val="00DF1EF8"/>
    <w:rsid w:val="00DF2281"/>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2A02"/>
    <w:rsid w:val="00E12ED6"/>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4E4"/>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26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2BF0"/>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3DE2"/>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56"/>
    <w:rsid w:val="00EB3AB8"/>
    <w:rsid w:val="00EB41A7"/>
    <w:rsid w:val="00EB4948"/>
    <w:rsid w:val="00EB4B7A"/>
    <w:rsid w:val="00EB51F0"/>
    <w:rsid w:val="00EB54FE"/>
    <w:rsid w:val="00EB65A6"/>
    <w:rsid w:val="00EB6863"/>
    <w:rsid w:val="00EB6CCE"/>
    <w:rsid w:val="00EB777C"/>
    <w:rsid w:val="00EC063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4F8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27E1E"/>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2E6F"/>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BCE"/>
    <w:rsid w:val="00F76E32"/>
    <w:rsid w:val="00F7758E"/>
    <w:rsid w:val="00F775C0"/>
    <w:rsid w:val="00F77735"/>
    <w:rsid w:val="00F77991"/>
    <w:rsid w:val="00F77A92"/>
    <w:rsid w:val="00F77C5E"/>
    <w:rsid w:val="00F808D3"/>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166"/>
    <w:rsid w:val="00F93627"/>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5DCD"/>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0F2"/>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BA8"/>
    <w:rsid w:val="00FF5DE1"/>
    <w:rsid w:val="00FF5EA5"/>
    <w:rsid w:val="00FF65F4"/>
    <w:rsid w:val="00FF6B29"/>
    <w:rsid w:val="00FF6BF3"/>
    <w:rsid w:val="00FF70B7"/>
    <w:rsid w:val="00FF7BB7"/>
    <w:rsid w:val="00FF7DC6"/>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l-GR"/>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l-GR"/>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09690298">
      <w:bodyDiv w:val="1"/>
      <w:marLeft w:val="0"/>
      <w:marRight w:val="0"/>
      <w:marTop w:val="0"/>
      <w:marBottom w:val="0"/>
      <w:divBdr>
        <w:top w:val="none" w:sz="0" w:space="0" w:color="auto"/>
        <w:left w:val="none" w:sz="0" w:space="0" w:color="auto"/>
        <w:bottom w:val="none" w:sz="0" w:space="0" w:color="auto"/>
        <w:right w:val="none" w:sz="0" w:space="0" w:color="auto"/>
      </w:divBdr>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D71F474D-0E5C-49C0-B74B-8412522D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9FD34-BDD7-440D-A310-A955CC4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824</TotalTime>
  <Pages>4</Pages>
  <Words>552</Words>
  <Characters>3767</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4270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20</cp:revision>
  <cp:lastPrinted>2010-08-20T08:44:00Z</cp:lastPrinted>
  <dcterms:created xsi:type="dcterms:W3CDTF">2017-06-08T12:48:00Z</dcterms:created>
  <dcterms:modified xsi:type="dcterms:W3CDTF">2019-02-07T13:58:00Z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