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AF19F" w14:textId="46B9AFDA" w:rsidR="009F0834" w:rsidRPr="002108FA" w:rsidRDefault="009F0834" w:rsidP="00111D2C">
      <w:pPr>
        <w:pStyle w:val="Heading1"/>
        <w:tabs>
          <w:tab w:val="left" w:pos="2100"/>
        </w:tabs>
      </w:pPr>
      <w:bookmarkStart w:id="0" w:name="_GoBack"/>
      <w:bookmarkEnd w:id="0"/>
      <w:r w:rsidRPr="002108FA">
        <w:t>Customs Decision</w:t>
      </w:r>
      <w:r w:rsidR="00670374" w:rsidRPr="002108FA">
        <w:t>s</w:t>
      </w:r>
      <w:r w:rsidRPr="002108FA">
        <w:t xml:space="preserve"> Management System</w:t>
      </w:r>
      <w:r w:rsidR="001A083B" w:rsidRPr="002108FA">
        <w:t xml:space="preserve"> –</w:t>
      </w:r>
      <w:r w:rsidR="00D052CA" w:rsidRPr="002108FA">
        <w:t xml:space="preserve"> Scope and A</w:t>
      </w:r>
      <w:r w:rsidR="001A083B" w:rsidRPr="002108FA">
        <w:t>rchitecture</w:t>
      </w:r>
    </w:p>
    <w:p w14:paraId="6B2F9426" w14:textId="56197F5F" w:rsidR="00DE2D7F" w:rsidRPr="002108FA" w:rsidRDefault="00A36CD1" w:rsidP="00A36CD1">
      <w:pPr>
        <w:pStyle w:val="Heading2"/>
      </w:pPr>
      <w:r w:rsidRPr="002108FA">
        <w:t>Introduction</w:t>
      </w:r>
    </w:p>
    <w:p w14:paraId="0A6245A7" w14:textId="07CA13E8" w:rsidR="00085F1E" w:rsidRPr="002108FA" w:rsidRDefault="00085F1E" w:rsidP="00CF0C93">
      <w:r w:rsidRPr="002108FA">
        <w:t>For the first time in the functioning of the Customs Union, EU wide decisions are established (i.e. decisions which are valid and recognised in all or several MS</w:t>
      </w:r>
      <w:r w:rsidR="005E37ED" w:rsidRPr="002108FA">
        <w:t xml:space="preserve"> at the same time</w:t>
      </w:r>
      <w:r w:rsidRPr="002108FA">
        <w:t>).</w:t>
      </w:r>
    </w:p>
    <w:p w14:paraId="41CC6CFB" w14:textId="329C0E14" w:rsidR="00085F1E" w:rsidRPr="002108FA" w:rsidRDefault="00085F1E" w:rsidP="00CF0C93">
      <w:r w:rsidRPr="002108FA">
        <w:t xml:space="preserve">From now on, a uniform approach in the application and decision-taking process across the EU and a unique EU </w:t>
      </w:r>
      <w:r w:rsidR="00761927" w:rsidRPr="002108FA">
        <w:t xml:space="preserve">Trader Portal </w:t>
      </w:r>
      <w:r w:rsidRPr="002108FA">
        <w:t>is aimed to be used</w:t>
      </w:r>
      <w:r w:rsidR="005E37ED" w:rsidRPr="002108FA">
        <w:t xml:space="preserve"> </w:t>
      </w:r>
      <w:r w:rsidR="00777024" w:rsidRPr="002108FA">
        <w:t xml:space="preserve">by trade </w:t>
      </w:r>
      <w:r w:rsidR="005E37ED" w:rsidRPr="002108FA">
        <w:t>to access a trans-European IT system</w:t>
      </w:r>
      <w:r w:rsidR="00BB1C70" w:rsidRPr="002108FA">
        <w:t>, namely the Customs Decisions IT system (“CDS”)</w:t>
      </w:r>
      <w:r w:rsidRPr="002108FA">
        <w:t>.</w:t>
      </w:r>
    </w:p>
    <w:p w14:paraId="1978412B" w14:textId="2C46206F" w:rsidR="00A36CD1" w:rsidRPr="002108FA" w:rsidRDefault="00A36CD1" w:rsidP="00A36CD1">
      <w:r w:rsidRPr="002108FA">
        <w:t xml:space="preserve">Customs </w:t>
      </w:r>
      <w:r w:rsidR="0031073A" w:rsidRPr="002108FA">
        <w:t>d</w:t>
      </w:r>
      <w:r w:rsidRPr="002108FA">
        <w:t xml:space="preserve">ecisions are decisions taken by competent customs authorities on requests made by the economic operators. The range of possible decisions is wide and covers the deferment of payment of customs duties, administrative simplifications, customs classification of imported products, and more. The information concerning </w:t>
      </w:r>
      <w:r w:rsidR="0031073A" w:rsidRPr="002108FA">
        <w:t>c</w:t>
      </w:r>
      <w:r w:rsidRPr="002108FA">
        <w:t xml:space="preserve">ustoms </w:t>
      </w:r>
      <w:r w:rsidR="0031073A" w:rsidRPr="002108FA">
        <w:t>d</w:t>
      </w:r>
      <w:r w:rsidRPr="002108FA">
        <w:t xml:space="preserve">ecisions will ultimately be used by the customs declaration systems, transactions systems (ICS, NCTS, </w:t>
      </w:r>
      <w:proofErr w:type="gramStart"/>
      <w:r w:rsidRPr="002108FA">
        <w:t>ECS</w:t>
      </w:r>
      <w:proofErr w:type="gramEnd"/>
      <w:r w:rsidRPr="002108FA">
        <w:t>) and by the national customs risk management systems.</w:t>
      </w:r>
    </w:p>
    <w:p w14:paraId="5E8DE8CB" w14:textId="6498E9BE" w:rsidR="00A36CD1" w:rsidRPr="002108FA" w:rsidRDefault="00A36CD1" w:rsidP="00A36CD1">
      <w:r w:rsidRPr="002108FA">
        <w:t>The U</w:t>
      </w:r>
      <w:r w:rsidR="00C1768F" w:rsidRPr="002108FA">
        <w:t xml:space="preserve">nion </w:t>
      </w:r>
      <w:r w:rsidRPr="002108FA">
        <w:t>C</w:t>
      </w:r>
      <w:r w:rsidR="00C1768F" w:rsidRPr="002108FA">
        <w:t xml:space="preserve">ustoms </w:t>
      </w:r>
      <w:r w:rsidRPr="002108FA">
        <w:t>C</w:t>
      </w:r>
      <w:r w:rsidR="00C1768F" w:rsidRPr="002108FA">
        <w:t>ode (UCC)</w:t>
      </w:r>
      <w:r w:rsidRPr="002108FA">
        <w:t xml:space="preserve">, </w:t>
      </w:r>
      <w:r w:rsidR="004208D1" w:rsidRPr="002108FA">
        <w:t>supported by its delegated and implementing acts (</w:t>
      </w:r>
      <w:r w:rsidRPr="002108FA">
        <w:t>UCC DA and UCC IA</w:t>
      </w:r>
      <w:r w:rsidR="004208D1" w:rsidRPr="002108FA">
        <w:t>)</w:t>
      </w:r>
      <w:r w:rsidRPr="002108FA">
        <w:t>, establish</w:t>
      </w:r>
      <w:r w:rsidR="00C1768F" w:rsidRPr="002108FA">
        <w:t>es</w:t>
      </w:r>
      <w:r w:rsidRPr="002108FA">
        <w:t xml:space="preserve"> the principle that all communication must be electronic and allows for paper based procedures only in defined exceptional cases. The Customs Decisions IT system encompasses the detailed IT implementation of this principle.</w:t>
      </w:r>
    </w:p>
    <w:p w14:paraId="293F6503" w14:textId="4BA23EB5" w:rsidR="007E52B7" w:rsidRPr="002108FA" w:rsidRDefault="00941BBC" w:rsidP="00A36CD1">
      <w:r w:rsidRPr="002108FA">
        <w:t xml:space="preserve">With the UCC, the legal basis is </w:t>
      </w:r>
      <w:r w:rsidR="005E37ED" w:rsidRPr="002108FA">
        <w:t xml:space="preserve">also </w:t>
      </w:r>
      <w:r w:rsidRPr="002108FA">
        <w:t xml:space="preserve">provided to ensure a uniform approach to the processes related to customs decisions (from the initial requests or applications to the final granting of the authorisations) and to have the customs decisions managed and stored in a trans-European IT system. </w:t>
      </w:r>
      <w:r w:rsidR="00741F3B" w:rsidRPr="002108FA">
        <w:t xml:space="preserve">The </w:t>
      </w:r>
      <w:r w:rsidR="00741F3B" w:rsidRPr="002108FA">
        <w:rPr>
          <w:b/>
        </w:rPr>
        <w:t>Customs Decisions IT system</w:t>
      </w:r>
      <w:r w:rsidR="00741F3B" w:rsidRPr="002108FA">
        <w:t xml:space="preserve"> is a hybrid system, composed of a central IT system and optional national IT systems. The central IT system allows MS who have no national systems to consolidate all Customs Decisions applications and authorisations in an electronic format in a single repository which is accessible by all MS. MS that implement national systems publish status information for the applications and authorisations processed in their national IT systems to the central IT system, thus assuring centralised monitoring of the totality of the customs decisions activity in the EU.</w:t>
      </w:r>
    </w:p>
    <w:p w14:paraId="7CF2C354" w14:textId="2E6EE099" w:rsidR="008258F0" w:rsidRPr="002108FA" w:rsidRDefault="008258F0" w:rsidP="00A36CD1">
      <w:r w:rsidRPr="002108FA">
        <w:t>The central IT system</w:t>
      </w:r>
      <w:r w:rsidR="004208D1" w:rsidRPr="002108FA">
        <w:t xml:space="preserve"> – the </w:t>
      </w:r>
      <w:r w:rsidR="004208D1" w:rsidRPr="002108FA">
        <w:rPr>
          <w:b/>
        </w:rPr>
        <w:t>central Customs Decisions Management System (CDMS)</w:t>
      </w:r>
      <w:r w:rsidR="004208D1" w:rsidRPr="002108FA">
        <w:t xml:space="preserve"> -</w:t>
      </w:r>
      <w:r w:rsidRPr="002108FA">
        <w:t xml:space="preserve"> contains a communication module which permits the consultation of several MS, thus allowing the communication between the central system and one or more national systems. </w:t>
      </w:r>
    </w:p>
    <w:p w14:paraId="69C5CC4B" w14:textId="0EB9CF4D" w:rsidR="00741F3B" w:rsidRPr="002108FA" w:rsidRDefault="008258F0" w:rsidP="00741F3B">
      <w:r w:rsidRPr="002108FA">
        <w:t>All</w:t>
      </w:r>
      <w:r w:rsidR="00741F3B" w:rsidRPr="002108FA">
        <w:t xml:space="preserve"> </w:t>
      </w:r>
      <w:r w:rsidRPr="002108FA">
        <w:t xml:space="preserve">taken </w:t>
      </w:r>
      <w:r w:rsidR="00741F3B" w:rsidRPr="002108FA">
        <w:t xml:space="preserve">decisions (and any changes to </w:t>
      </w:r>
      <w:r w:rsidR="00C1768F" w:rsidRPr="002108FA">
        <w:t xml:space="preserve">their </w:t>
      </w:r>
      <w:r w:rsidR="00741F3B" w:rsidRPr="002108FA">
        <w:t>status) are made available in the CRS component of the central IT system.</w:t>
      </w:r>
    </w:p>
    <w:p w14:paraId="7D80635A" w14:textId="44A5BEF9" w:rsidR="00741F3B" w:rsidRPr="002108FA" w:rsidRDefault="00741F3B" w:rsidP="00741F3B">
      <w:r w:rsidRPr="002108FA">
        <w:t xml:space="preserve">The </w:t>
      </w:r>
      <w:r w:rsidR="00B51CBC" w:rsidRPr="002108FA">
        <w:rPr>
          <w:b/>
        </w:rPr>
        <w:t>Customs</w:t>
      </w:r>
      <w:r w:rsidR="00B51CBC" w:rsidRPr="002108FA">
        <w:t xml:space="preserve"> </w:t>
      </w:r>
      <w:r w:rsidRPr="002108FA">
        <w:rPr>
          <w:b/>
        </w:rPr>
        <w:t xml:space="preserve">Customer </w:t>
      </w:r>
      <w:r w:rsidR="008258F0" w:rsidRPr="002108FA">
        <w:rPr>
          <w:b/>
        </w:rPr>
        <w:t xml:space="preserve">Reference </w:t>
      </w:r>
      <w:r w:rsidR="00C1768F" w:rsidRPr="002108FA">
        <w:rPr>
          <w:b/>
        </w:rPr>
        <w:t xml:space="preserve">Services </w:t>
      </w:r>
      <w:r w:rsidRPr="002108FA">
        <w:rPr>
          <w:b/>
        </w:rPr>
        <w:t>(CRS)</w:t>
      </w:r>
      <w:r w:rsidRPr="002108FA">
        <w:t xml:space="preserve"> repository store</w:t>
      </w:r>
      <w:r w:rsidR="008258F0" w:rsidRPr="002108FA">
        <w:t>s</w:t>
      </w:r>
      <w:r w:rsidRPr="002108FA">
        <w:t xml:space="preserve"> </w:t>
      </w:r>
      <w:r w:rsidR="00CE2592">
        <w:t xml:space="preserve">all </w:t>
      </w:r>
      <w:r w:rsidR="008258F0" w:rsidRPr="002108FA">
        <w:t>t</w:t>
      </w:r>
      <w:r w:rsidR="00146CA4" w:rsidRPr="002108FA">
        <w:t>a</w:t>
      </w:r>
      <w:r w:rsidR="008258F0" w:rsidRPr="002108FA">
        <w:t>k</w:t>
      </w:r>
      <w:r w:rsidR="00146CA4" w:rsidRPr="002108FA">
        <w:t>e</w:t>
      </w:r>
      <w:r w:rsidR="008258F0" w:rsidRPr="002108FA">
        <w:t xml:space="preserve">n </w:t>
      </w:r>
      <w:r w:rsidRPr="002108FA">
        <w:t>decisions</w:t>
      </w:r>
      <w:r w:rsidR="008258F0" w:rsidRPr="002108FA">
        <w:t>. It</w:t>
      </w:r>
      <w:r w:rsidRPr="002108FA">
        <w:t xml:space="preserve"> provides a single database in the EU that store</w:t>
      </w:r>
      <w:r w:rsidR="008258F0" w:rsidRPr="002108FA">
        <w:t>s</w:t>
      </w:r>
      <w:r w:rsidRPr="002108FA">
        <w:t xml:space="preserve"> all authorisations delivered in the EU. The central and national Customs Decisions Systems </w:t>
      </w:r>
      <w:r w:rsidR="0032769E" w:rsidRPr="002108FA">
        <w:t>(CD</w:t>
      </w:r>
      <w:r w:rsidR="00146CA4" w:rsidRPr="002108FA">
        <w:t xml:space="preserve">S) </w:t>
      </w:r>
      <w:r w:rsidR="008258F0" w:rsidRPr="002108FA">
        <w:t xml:space="preserve">must </w:t>
      </w:r>
      <w:r w:rsidRPr="002108FA">
        <w:t xml:space="preserve">use it to store </w:t>
      </w:r>
      <w:r w:rsidR="002E3EBF">
        <w:t xml:space="preserve">all </w:t>
      </w:r>
      <w:r w:rsidR="008258F0" w:rsidRPr="002108FA">
        <w:t>taken decisions</w:t>
      </w:r>
      <w:r w:rsidRPr="002108FA">
        <w:t>.</w:t>
      </w:r>
    </w:p>
    <w:p w14:paraId="1C8E9CF0" w14:textId="4FFADD32" w:rsidR="00F24B18" w:rsidRPr="002108FA" w:rsidRDefault="00146CA4" w:rsidP="00F24B18">
      <w:r w:rsidRPr="002108FA">
        <w:t xml:space="preserve">The Customs Decisions IT system is supported by an </w:t>
      </w:r>
      <w:r w:rsidRPr="002108FA">
        <w:rPr>
          <w:b/>
        </w:rPr>
        <w:t>EU Trader Portal (TP)</w:t>
      </w:r>
      <w:r w:rsidRPr="002108FA">
        <w:t>, which is the focal point for traders and their representatives</w:t>
      </w:r>
      <w:r w:rsidR="001F06D4" w:rsidRPr="002108FA">
        <w:t xml:space="preserve"> (</w:t>
      </w:r>
      <w:r w:rsidR="00BB1C70" w:rsidRPr="002108FA">
        <w:t xml:space="preserve">as defined in </w:t>
      </w:r>
      <w:r w:rsidR="001F06D4" w:rsidRPr="002108FA">
        <w:t>Art. 10 IA)</w:t>
      </w:r>
      <w:r w:rsidRPr="002108FA">
        <w:t>. This portal gives access to all European traders (over 3.000.000 companies)</w:t>
      </w:r>
      <w:r w:rsidR="00DB1AF2" w:rsidRPr="002108FA">
        <w:t xml:space="preserve"> requiring a customs decision</w:t>
      </w:r>
      <w:r w:rsidRPr="002108FA">
        <w:t xml:space="preserve"> for their activities within EU. Through this portal, the economic operators </w:t>
      </w:r>
      <w:r w:rsidR="00092340" w:rsidRPr="002108FA">
        <w:t>are</w:t>
      </w:r>
      <w:r w:rsidR="00F24B18" w:rsidRPr="002108FA">
        <w:t xml:space="preserve"> able to lodge applications, to monitor the status of their application</w:t>
      </w:r>
      <w:r w:rsidR="00330522" w:rsidRPr="002108FA">
        <w:t xml:space="preserve">, </w:t>
      </w:r>
      <w:r w:rsidR="00F24B18" w:rsidRPr="002108FA">
        <w:t>to carry out any follow up task (e.g. amendment)</w:t>
      </w:r>
      <w:r w:rsidR="00330522" w:rsidRPr="002108FA">
        <w:t xml:space="preserve">, to have an overview of the decisions granted or the decisions being processed and </w:t>
      </w:r>
      <w:r w:rsidR="0029378B" w:rsidRPr="002108FA">
        <w:t xml:space="preserve">to </w:t>
      </w:r>
      <w:r w:rsidR="00330522" w:rsidRPr="002108FA">
        <w:t>manage their granted decisions.</w:t>
      </w:r>
    </w:p>
    <w:p w14:paraId="3E75EBCF" w14:textId="4499647E" w:rsidR="002A5981" w:rsidRPr="002108FA" w:rsidRDefault="001A083B" w:rsidP="00741F3B">
      <w:r w:rsidRPr="002108FA">
        <w:t>The section</w:t>
      </w:r>
      <w:r w:rsidR="00F25B5C" w:rsidRPr="002108FA">
        <w:t xml:space="preserve"> </w:t>
      </w:r>
      <w:r w:rsidR="00F25B5C" w:rsidRPr="002108FA">
        <w:fldChar w:fldCharType="begin"/>
      </w:r>
      <w:r w:rsidR="00F25B5C" w:rsidRPr="002108FA">
        <w:instrText xml:space="preserve"> REF _Ref483830938 \r \h </w:instrText>
      </w:r>
      <w:r w:rsidR="00F25B5C" w:rsidRPr="002108FA">
        <w:fldChar w:fldCharType="separate"/>
      </w:r>
      <w:r w:rsidR="006D18FB">
        <w:t>1.7</w:t>
      </w:r>
      <w:r w:rsidR="00F25B5C" w:rsidRPr="002108FA">
        <w:fldChar w:fldCharType="end"/>
      </w:r>
      <w:r w:rsidR="002A5981" w:rsidRPr="002108FA">
        <w:t xml:space="preserve"> presents a more detailed description of the different components, including the relations linking them.</w:t>
      </w:r>
    </w:p>
    <w:p w14:paraId="3D8F8D6D" w14:textId="4CFF082E" w:rsidR="00085F1E" w:rsidRPr="002108FA" w:rsidRDefault="00085F1E" w:rsidP="001A083B">
      <w:pPr>
        <w:pStyle w:val="Heading3"/>
      </w:pPr>
      <w:r w:rsidRPr="002108FA">
        <w:lastRenderedPageBreak/>
        <w:t>Legal References</w:t>
      </w:r>
    </w:p>
    <w:p w14:paraId="47316511" w14:textId="17A1967B" w:rsidR="00085F1E" w:rsidRPr="002108FA" w:rsidRDefault="00085F1E" w:rsidP="00315103">
      <w:pPr>
        <w:rPr>
          <w:b/>
        </w:rPr>
      </w:pPr>
      <w:r w:rsidRPr="002108FA">
        <w:rPr>
          <w:b/>
        </w:rPr>
        <w:t>The Union Customs Code</w:t>
      </w:r>
      <w:r w:rsidR="00EC37A9" w:rsidRPr="002108FA">
        <w:rPr>
          <w:b/>
        </w:rPr>
        <w:t xml:space="preserve"> </w:t>
      </w:r>
      <w:r w:rsidR="00EC37A9" w:rsidRPr="00F53A0E">
        <w:rPr>
          <w:b/>
        </w:rPr>
        <w:t>(Art. 6, 16, 22, 23 UCC)</w:t>
      </w:r>
    </w:p>
    <w:p w14:paraId="2EE7390F" w14:textId="0B88C71F" w:rsidR="00085F1E" w:rsidRPr="002108FA" w:rsidRDefault="00085F1E" w:rsidP="00315103">
      <w:r w:rsidRPr="00DD3BB0">
        <w:t xml:space="preserve">The Union Customs Code (UCC) was adopted on 9 October 2013 as </w:t>
      </w:r>
      <w:r w:rsidR="00A11653" w:rsidRPr="00810B5C">
        <w:t>r</w:t>
      </w:r>
      <w:r w:rsidRPr="00DE58D4">
        <w:t>egulation (EU) No 952/2013 of the European Parlia</w:t>
      </w:r>
      <w:r w:rsidRPr="002108FA">
        <w:t>ment and of the Council.</w:t>
      </w:r>
    </w:p>
    <w:p w14:paraId="7784B256" w14:textId="30305EF6" w:rsidR="00085F1E" w:rsidRPr="002108FA" w:rsidRDefault="00085F1E" w:rsidP="003A5386">
      <w:pPr>
        <w:rPr>
          <w:b/>
        </w:rPr>
      </w:pPr>
      <w:r w:rsidRPr="002108FA">
        <w:rPr>
          <w:b/>
        </w:rPr>
        <w:t xml:space="preserve">The UCC </w:t>
      </w:r>
      <w:r w:rsidR="009E58A3" w:rsidRPr="002108FA">
        <w:rPr>
          <w:b/>
        </w:rPr>
        <w:t>d</w:t>
      </w:r>
      <w:r w:rsidRPr="002108FA">
        <w:rPr>
          <w:b/>
        </w:rPr>
        <w:t xml:space="preserve">elegated </w:t>
      </w:r>
      <w:r w:rsidR="009E58A3" w:rsidRPr="002108FA">
        <w:rPr>
          <w:b/>
        </w:rPr>
        <w:t>a</w:t>
      </w:r>
      <w:r w:rsidRPr="002108FA">
        <w:rPr>
          <w:b/>
        </w:rPr>
        <w:t>ct</w:t>
      </w:r>
      <w:r w:rsidR="00EC37A9" w:rsidRPr="002108FA">
        <w:rPr>
          <w:b/>
        </w:rPr>
        <w:t xml:space="preserve"> (Art. 11-18 DA, Annex A)</w:t>
      </w:r>
    </w:p>
    <w:p w14:paraId="6804DDD5" w14:textId="35D30A8D" w:rsidR="00085F1E" w:rsidRPr="002108FA" w:rsidRDefault="00085F1E" w:rsidP="00315103">
      <w:r w:rsidRPr="002108FA">
        <w:t xml:space="preserve">The UCC </w:t>
      </w:r>
      <w:r w:rsidR="009E58A3" w:rsidRPr="002108FA">
        <w:t>d</w:t>
      </w:r>
      <w:r w:rsidRPr="002108FA">
        <w:t xml:space="preserve">elegated </w:t>
      </w:r>
      <w:r w:rsidR="009E58A3" w:rsidRPr="002108FA">
        <w:t>a</w:t>
      </w:r>
      <w:r w:rsidRPr="002108FA">
        <w:t xml:space="preserve">ct was adopted on 28 July 2015 as Commission </w:t>
      </w:r>
      <w:r w:rsidR="00A11653" w:rsidRPr="002108FA">
        <w:t>d</w:t>
      </w:r>
      <w:r w:rsidRPr="002108FA">
        <w:t xml:space="preserve">elegated </w:t>
      </w:r>
      <w:r w:rsidR="00A11653" w:rsidRPr="002108FA">
        <w:t>r</w:t>
      </w:r>
      <w:r w:rsidRPr="002108FA">
        <w:t>egulation No 2015/2446.</w:t>
      </w:r>
    </w:p>
    <w:p w14:paraId="1DBF1749" w14:textId="28898BF2" w:rsidR="00085F1E" w:rsidRPr="002108FA" w:rsidRDefault="00085F1E" w:rsidP="00315103">
      <w:pPr>
        <w:rPr>
          <w:b/>
        </w:rPr>
      </w:pPr>
      <w:r w:rsidRPr="002108FA">
        <w:rPr>
          <w:b/>
        </w:rPr>
        <w:t xml:space="preserve">The UCC </w:t>
      </w:r>
      <w:r w:rsidR="00A11653" w:rsidRPr="002108FA">
        <w:rPr>
          <w:b/>
        </w:rPr>
        <w:t>i</w:t>
      </w:r>
      <w:r w:rsidRPr="002108FA">
        <w:rPr>
          <w:b/>
        </w:rPr>
        <w:t xml:space="preserve">mplementing </w:t>
      </w:r>
      <w:r w:rsidR="00A11653" w:rsidRPr="002108FA">
        <w:rPr>
          <w:b/>
        </w:rPr>
        <w:t>a</w:t>
      </w:r>
      <w:r w:rsidRPr="002108FA">
        <w:rPr>
          <w:b/>
        </w:rPr>
        <w:t>ct</w:t>
      </w:r>
      <w:r w:rsidR="00EC37A9" w:rsidRPr="002108FA">
        <w:rPr>
          <w:b/>
        </w:rPr>
        <w:t xml:space="preserve"> (Art. 10 IA, Annex A)</w:t>
      </w:r>
    </w:p>
    <w:p w14:paraId="11661B9E" w14:textId="6F043256" w:rsidR="00085F1E" w:rsidRPr="002108FA" w:rsidRDefault="00085F1E" w:rsidP="00315103">
      <w:r w:rsidRPr="002108FA">
        <w:t xml:space="preserve">The UCC </w:t>
      </w:r>
      <w:r w:rsidR="00A11653" w:rsidRPr="002108FA">
        <w:t>i</w:t>
      </w:r>
      <w:r w:rsidRPr="002108FA">
        <w:t xml:space="preserve">mplementing </w:t>
      </w:r>
      <w:r w:rsidR="00A11653" w:rsidRPr="002108FA">
        <w:t>a</w:t>
      </w:r>
      <w:r w:rsidRPr="002108FA">
        <w:t xml:space="preserve">ct was adopted on </w:t>
      </w:r>
      <w:r w:rsidR="00D54675">
        <w:t>2</w:t>
      </w:r>
      <w:r w:rsidR="00C54033">
        <w:t>4</w:t>
      </w:r>
      <w:r w:rsidR="00D54675" w:rsidRPr="002108FA">
        <w:t xml:space="preserve"> </w:t>
      </w:r>
      <w:r w:rsidRPr="002108FA">
        <w:t xml:space="preserve">November </w:t>
      </w:r>
      <w:r w:rsidR="00C44616" w:rsidRPr="002108FA">
        <w:t>201</w:t>
      </w:r>
      <w:r w:rsidR="00C44616">
        <w:t>5</w:t>
      </w:r>
      <w:r w:rsidR="00C44616" w:rsidRPr="002108FA">
        <w:t xml:space="preserve"> </w:t>
      </w:r>
      <w:r w:rsidRPr="002108FA">
        <w:t xml:space="preserve">as Commission </w:t>
      </w:r>
      <w:r w:rsidR="00A11653" w:rsidRPr="002108FA">
        <w:t>i</w:t>
      </w:r>
      <w:r w:rsidRPr="002108FA">
        <w:t xml:space="preserve">mplementing </w:t>
      </w:r>
      <w:r w:rsidR="00A11653" w:rsidRPr="002108FA">
        <w:t>r</w:t>
      </w:r>
      <w:r w:rsidRPr="002108FA">
        <w:t xml:space="preserve">egulation No </w:t>
      </w:r>
      <w:r w:rsidR="00C44616" w:rsidRPr="002108FA">
        <w:t>201</w:t>
      </w:r>
      <w:r w:rsidR="00C44616">
        <w:t>5</w:t>
      </w:r>
      <w:r w:rsidRPr="002108FA">
        <w:t>/</w:t>
      </w:r>
      <w:r w:rsidR="00C44616" w:rsidRPr="002108FA">
        <w:t>2</w:t>
      </w:r>
      <w:r w:rsidR="00C44616">
        <w:t>44</w:t>
      </w:r>
      <w:r w:rsidR="00C54033">
        <w:t>7</w:t>
      </w:r>
      <w:r w:rsidRPr="002108FA">
        <w:t>.</w:t>
      </w:r>
    </w:p>
    <w:p w14:paraId="0550F6E9" w14:textId="68EE3BB1" w:rsidR="009646A7" w:rsidRPr="002108FA" w:rsidRDefault="009646A7" w:rsidP="00315103">
      <w:pPr>
        <w:rPr>
          <w:b/>
        </w:rPr>
      </w:pPr>
      <w:r w:rsidRPr="002108FA">
        <w:rPr>
          <w:b/>
        </w:rPr>
        <w:t>The UCC Work Programme</w:t>
      </w:r>
    </w:p>
    <w:p w14:paraId="3350D20B" w14:textId="66E017D5" w:rsidR="00F517C6" w:rsidRPr="002108FA" w:rsidRDefault="00F517C6" w:rsidP="00F517C6">
      <w:r w:rsidRPr="002108FA">
        <w:t>The Work Programme relating to the development and deployment of the electronic systems provided for in the UCC</w:t>
      </w:r>
      <w:r w:rsidR="002108FA" w:rsidRPr="002108FA">
        <w:t xml:space="preserve"> </w:t>
      </w:r>
      <w:r w:rsidR="002108FA" w:rsidRPr="00DD3BB0">
        <w:t>was adopted on</w:t>
      </w:r>
      <w:r w:rsidRPr="00F53A0E">
        <w:t xml:space="preserve"> 11 April 2016</w:t>
      </w:r>
      <w:r w:rsidR="002108FA" w:rsidRPr="00F53A0E">
        <w:t xml:space="preserve"> by Commission Decision 2016/578/EU</w:t>
      </w:r>
      <w:r w:rsidRPr="00F53A0E">
        <w:t>.</w:t>
      </w:r>
    </w:p>
    <w:p w14:paraId="24E08BFD" w14:textId="77777777" w:rsidR="00AF7FAF" w:rsidRPr="00DD3BB0" w:rsidRDefault="00AF7FAF" w:rsidP="00315103">
      <w:pPr>
        <w:rPr>
          <w:b/>
        </w:rPr>
      </w:pPr>
    </w:p>
    <w:p w14:paraId="1AE4412F" w14:textId="03FD30A0" w:rsidR="00D52419" w:rsidRPr="002108FA" w:rsidRDefault="00D52419" w:rsidP="001A083B">
      <w:pPr>
        <w:pStyle w:val="Heading3"/>
      </w:pPr>
      <w:r w:rsidRPr="002108FA">
        <w:t>Context Description</w:t>
      </w:r>
    </w:p>
    <w:p w14:paraId="41A57819" w14:textId="47B88A9C" w:rsidR="00D52419" w:rsidRPr="002108FA" w:rsidRDefault="00D52419" w:rsidP="00315103">
      <w:r w:rsidRPr="002108FA">
        <w:t>Union Customs Code general information can be found on the Europa website:</w:t>
      </w:r>
    </w:p>
    <w:p w14:paraId="462611A8" w14:textId="4AC7748C" w:rsidR="00D52419" w:rsidRPr="002108FA" w:rsidRDefault="005B70F8" w:rsidP="00315103">
      <w:hyperlink r:id="rId12" w:history="1">
        <w:r w:rsidR="00D52419" w:rsidRPr="002108FA">
          <w:rPr>
            <w:rStyle w:val="Hyperlink"/>
          </w:rPr>
          <w:t>https://ec.europa.eu/taxation_customs/business/union-customs-code_en</w:t>
        </w:r>
      </w:hyperlink>
      <w:r w:rsidR="00D52419" w:rsidRPr="002108FA">
        <w:t xml:space="preserve"> </w:t>
      </w:r>
    </w:p>
    <w:p w14:paraId="783EFB9B" w14:textId="1C022C46" w:rsidR="00D52419" w:rsidRPr="002108FA" w:rsidRDefault="00C1768F" w:rsidP="00315103">
      <w:r w:rsidRPr="002108FA">
        <w:t xml:space="preserve">As displayed in </w:t>
      </w:r>
      <w:r w:rsidRPr="00F53A0E">
        <w:fldChar w:fldCharType="begin"/>
      </w:r>
      <w:r w:rsidRPr="002108FA">
        <w:instrText xml:space="preserve"> REF _Ref484086542 \h </w:instrText>
      </w:r>
      <w:r w:rsidRPr="00F53A0E">
        <w:fldChar w:fldCharType="separate"/>
      </w:r>
      <w:r w:rsidR="006D18FB" w:rsidRPr="002108FA">
        <w:t xml:space="preserve">Figure </w:t>
      </w:r>
      <w:r w:rsidR="006D18FB">
        <w:rPr>
          <w:noProof/>
        </w:rPr>
        <w:t>1</w:t>
      </w:r>
      <w:r w:rsidRPr="00F53A0E">
        <w:fldChar w:fldCharType="end"/>
      </w:r>
      <w:r w:rsidRPr="002108FA">
        <w:t>, t</w:t>
      </w:r>
      <w:r w:rsidR="00D52419" w:rsidRPr="002108FA">
        <w:t>his page</w:t>
      </w:r>
      <w:r w:rsidRPr="002108FA">
        <w:t xml:space="preserve"> notably</w:t>
      </w:r>
      <w:r w:rsidR="00D52419" w:rsidRPr="002108FA">
        <w:t xml:space="preserve"> gives some insight about UCC in the form of: </w:t>
      </w:r>
    </w:p>
    <w:p w14:paraId="23476431" w14:textId="49100ED5" w:rsidR="00D52419" w:rsidRPr="002108FA" w:rsidRDefault="005F5FEF" w:rsidP="00CF0C93">
      <w:pPr>
        <w:numPr>
          <w:ilvl w:val="0"/>
          <w:numId w:val="47"/>
        </w:numPr>
        <w:ind w:left="568" w:hanging="284"/>
      </w:pPr>
      <w:r w:rsidRPr="002108FA">
        <w:t>Questions and</w:t>
      </w:r>
      <w:r w:rsidR="00D52419" w:rsidRPr="002108FA">
        <w:t xml:space="preserve"> Answers;</w:t>
      </w:r>
    </w:p>
    <w:p w14:paraId="09529035" w14:textId="5F21A706" w:rsidR="00D52419" w:rsidRPr="002108FA" w:rsidRDefault="00D52419" w:rsidP="00CF0C93">
      <w:pPr>
        <w:numPr>
          <w:ilvl w:val="0"/>
          <w:numId w:val="47"/>
        </w:numPr>
        <w:ind w:left="568" w:hanging="284"/>
      </w:pPr>
      <w:r w:rsidRPr="002108FA">
        <w:t xml:space="preserve">Guidance </w:t>
      </w:r>
      <w:r w:rsidR="00747BBE" w:rsidRPr="002108FA">
        <w:t>d</w:t>
      </w:r>
      <w:r w:rsidRPr="002108FA">
        <w:t>ocuments;</w:t>
      </w:r>
    </w:p>
    <w:p w14:paraId="67FB85A2" w14:textId="0FFE4C34" w:rsidR="00D52419" w:rsidRPr="002108FA" w:rsidRDefault="00D52419" w:rsidP="00CF0C93">
      <w:pPr>
        <w:numPr>
          <w:ilvl w:val="0"/>
          <w:numId w:val="47"/>
        </w:numPr>
        <w:ind w:left="568" w:hanging="284"/>
      </w:pPr>
      <w:r w:rsidRPr="002108FA">
        <w:t>EU Customs BPM.</w:t>
      </w:r>
    </w:p>
    <w:p w14:paraId="14CC4460" w14:textId="67F0B955" w:rsidR="00C1768F" w:rsidRPr="00DE58D4" w:rsidRDefault="00C1768F" w:rsidP="00315103">
      <w:pPr>
        <w:keepNext/>
        <w:ind w:left="539"/>
      </w:pPr>
      <w:r w:rsidRPr="00DE58D4">
        <w:rPr>
          <w:noProof/>
          <w:lang w:eastAsia="en-GB"/>
        </w:rPr>
        <w:lastRenderedPageBreak/>
        <w:drawing>
          <wp:inline distT="0" distB="0" distL="0" distR="0" wp14:anchorId="7E5479BE" wp14:editId="17003B95">
            <wp:extent cx="5275580" cy="4761230"/>
            <wp:effectExtent l="0" t="0" r="1270" b="1270"/>
            <wp:docPr id="16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21020"/>
                    <a:stretch/>
                  </pic:blipFill>
                  <pic:spPr bwMode="auto">
                    <a:xfrm>
                      <a:off x="0" y="0"/>
                      <a:ext cx="5275580" cy="4761230"/>
                    </a:xfrm>
                    <a:prstGeom prst="rect">
                      <a:avLst/>
                    </a:prstGeom>
                    <a:noFill/>
                    <a:ln>
                      <a:noFill/>
                    </a:ln>
                    <a:extLst/>
                  </pic:spPr>
                </pic:pic>
              </a:graphicData>
            </a:graphic>
          </wp:inline>
        </w:drawing>
      </w:r>
    </w:p>
    <w:p w14:paraId="29BE13D9" w14:textId="3A548787" w:rsidR="00D52419" w:rsidRPr="002108FA" w:rsidRDefault="00C1768F" w:rsidP="00315103">
      <w:pPr>
        <w:pStyle w:val="Caption"/>
      </w:pPr>
      <w:bookmarkStart w:id="1" w:name="_Ref484086542"/>
      <w:r w:rsidRPr="002108FA">
        <w:t xml:space="preserve">Figure </w:t>
      </w:r>
      <w:r w:rsidR="00964BE7" w:rsidRPr="00F53A0E">
        <w:fldChar w:fldCharType="begin"/>
      </w:r>
      <w:r w:rsidR="00964BE7" w:rsidRPr="002108FA">
        <w:instrText xml:space="preserve"> SEQ Figure \* ARABIC </w:instrText>
      </w:r>
      <w:r w:rsidR="00964BE7" w:rsidRPr="00F53A0E">
        <w:fldChar w:fldCharType="separate"/>
      </w:r>
      <w:r w:rsidR="006D18FB">
        <w:rPr>
          <w:noProof/>
        </w:rPr>
        <w:t>1</w:t>
      </w:r>
      <w:r w:rsidR="00964BE7" w:rsidRPr="00F53A0E">
        <w:rPr>
          <w:noProof/>
        </w:rPr>
        <w:fldChar w:fldCharType="end"/>
      </w:r>
      <w:bookmarkEnd w:id="1"/>
      <w:r w:rsidRPr="002108FA">
        <w:t xml:space="preserve"> - UCC dedicated website - Homepage</w:t>
      </w:r>
    </w:p>
    <w:p w14:paraId="08ECDA7F" w14:textId="0186EA3F" w:rsidR="00D52419" w:rsidRPr="002108FA" w:rsidRDefault="00D52419" w:rsidP="001A083B">
      <w:pPr>
        <w:pStyle w:val="Heading3"/>
      </w:pPr>
      <w:bookmarkStart w:id="2" w:name="_Ref484095787"/>
      <w:r w:rsidRPr="002108FA">
        <w:t>EU Customs BPM</w:t>
      </w:r>
      <w:bookmarkEnd w:id="2"/>
    </w:p>
    <w:p w14:paraId="559B68B0" w14:textId="026DDA7D" w:rsidR="00D52419" w:rsidRPr="002108FA" w:rsidRDefault="00C1768F" w:rsidP="001A083B">
      <w:pPr>
        <w:ind w:left="180"/>
      </w:pPr>
      <w:r w:rsidRPr="002108FA">
        <w:t xml:space="preserve">Business processes depicted in UCC and its delegated and implementing acts (DA and IA respectively) have been modelled. </w:t>
      </w:r>
      <w:r w:rsidR="00D52419" w:rsidRPr="002108FA">
        <w:t>A final publication of the “High Level and Business Requirements” is available for consultation and information. This BPM publication can be directly accessed by the following link:</w:t>
      </w:r>
    </w:p>
    <w:p w14:paraId="460BFE54" w14:textId="3690F714" w:rsidR="00D52419" w:rsidRPr="002108FA" w:rsidRDefault="005B70F8" w:rsidP="001A083B">
      <w:pPr>
        <w:ind w:left="180"/>
      </w:pPr>
      <w:hyperlink r:id="rId14" w:history="1">
        <w:r w:rsidR="00D52419" w:rsidRPr="002108FA">
          <w:rPr>
            <w:rStyle w:val="Hyperlink"/>
          </w:rPr>
          <w:t>https://itsmtaxud.europa.eu/businesspublisher/login.do?login=anonymous&amp;password=anonymous</w:t>
        </w:r>
      </w:hyperlink>
    </w:p>
    <w:p w14:paraId="5528C6EA" w14:textId="5CD30CF4" w:rsidR="00D52419" w:rsidRPr="002108FA" w:rsidRDefault="00D52419" w:rsidP="001A083B">
      <w:pPr>
        <w:ind w:left="180"/>
      </w:pPr>
      <w:r w:rsidRPr="002108FA">
        <w:t xml:space="preserve">In </w:t>
      </w:r>
      <w:r w:rsidR="009B38D9" w:rsidRPr="002108FA">
        <w:t>this platform</w:t>
      </w:r>
      <w:r w:rsidRPr="002108FA">
        <w:t xml:space="preserve">, the path to access to the BPMs referring </w:t>
      </w:r>
      <w:r w:rsidR="005F5FEF" w:rsidRPr="002108FA">
        <w:t>t</w:t>
      </w:r>
      <w:r w:rsidRPr="002108FA">
        <w:t xml:space="preserve">o </w:t>
      </w:r>
      <w:r w:rsidR="00C1768F" w:rsidRPr="002108FA">
        <w:t xml:space="preserve">Authorisations / </w:t>
      </w:r>
      <w:r w:rsidRPr="002108FA">
        <w:t>Decisions Management is the following:</w:t>
      </w:r>
    </w:p>
    <w:p w14:paraId="010CB2A0" w14:textId="59C1A4C7" w:rsidR="00D52419" w:rsidRPr="002108FA" w:rsidRDefault="00D52419" w:rsidP="00D52419">
      <w:pPr>
        <w:ind w:left="180"/>
      </w:pPr>
      <w:proofErr w:type="spellStart"/>
      <w:r w:rsidRPr="002108FA">
        <w:t>Taxud</w:t>
      </w:r>
      <w:proofErr w:type="spellEnd"/>
      <w:r w:rsidRPr="002108FA">
        <w:t xml:space="preserve"> Folder Structure &gt; </w:t>
      </w:r>
      <w:proofErr w:type="spellStart"/>
      <w:r w:rsidRPr="002108FA">
        <w:t>EU_Customs</w:t>
      </w:r>
      <w:proofErr w:type="spellEnd"/>
      <w:r w:rsidRPr="002108FA">
        <w:t xml:space="preserve"> &gt; Customs Business Processes &gt; 02_CBP L2-L3 HL and Business Requirement BPM &gt; Enabling Business Domains &gt; Authorisations / Decisions Management</w:t>
      </w:r>
      <w:r w:rsidR="00C1768F" w:rsidRPr="002108FA">
        <w:t>.</w:t>
      </w:r>
    </w:p>
    <w:p w14:paraId="74DB46DF" w14:textId="134D5BD5" w:rsidR="00C1768F" w:rsidRPr="002108FA" w:rsidRDefault="00C1768F" w:rsidP="00D52419">
      <w:pPr>
        <w:ind w:left="180"/>
      </w:pPr>
      <w:r w:rsidRPr="002108FA">
        <w:t xml:space="preserve">The navigation tree is depicted in </w:t>
      </w:r>
      <w:r w:rsidRPr="00F53A0E">
        <w:fldChar w:fldCharType="begin"/>
      </w:r>
      <w:r w:rsidRPr="002108FA">
        <w:instrText xml:space="preserve"> REF _Ref484086517 \h </w:instrText>
      </w:r>
      <w:r w:rsidRPr="00F53A0E">
        <w:fldChar w:fldCharType="separate"/>
      </w:r>
      <w:r w:rsidR="006D18FB" w:rsidRPr="002108FA">
        <w:t xml:space="preserve">Figure </w:t>
      </w:r>
      <w:r w:rsidR="006D18FB">
        <w:rPr>
          <w:noProof/>
        </w:rPr>
        <w:t>2</w:t>
      </w:r>
      <w:r w:rsidRPr="00F53A0E">
        <w:fldChar w:fldCharType="end"/>
      </w:r>
      <w:r w:rsidRPr="002108FA">
        <w:t>.</w:t>
      </w:r>
    </w:p>
    <w:p w14:paraId="1BC0EA45" w14:textId="77777777" w:rsidR="00C1768F" w:rsidRPr="002108FA" w:rsidRDefault="00D52419" w:rsidP="00315103">
      <w:pPr>
        <w:keepNext/>
        <w:jc w:val="center"/>
      </w:pPr>
      <w:r w:rsidRPr="00F53A0E">
        <w:rPr>
          <w:noProof/>
          <w:lang w:eastAsia="en-GB"/>
        </w:rPr>
        <w:drawing>
          <wp:inline distT="0" distB="0" distL="0" distR="0" wp14:anchorId="27A9D67D" wp14:editId="399648C3">
            <wp:extent cx="4380371" cy="3600000"/>
            <wp:effectExtent l="0" t="0" r="1270" b="635"/>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0371" cy="3600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41A9B88A" w14:textId="78F043DF" w:rsidR="00D52419" w:rsidRPr="002108FA" w:rsidRDefault="00C1768F" w:rsidP="00315103">
      <w:pPr>
        <w:pStyle w:val="Caption"/>
      </w:pPr>
      <w:bookmarkStart w:id="3" w:name="_Ref484086517"/>
      <w:bookmarkStart w:id="4" w:name="_Ref484086512"/>
      <w:r w:rsidRPr="002108FA">
        <w:t xml:space="preserve">Figure </w:t>
      </w:r>
      <w:r w:rsidR="00964BE7" w:rsidRPr="00F53A0E">
        <w:fldChar w:fldCharType="begin"/>
      </w:r>
      <w:r w:rsidR="00964BE7" w:rsidRPr="002108FA">
        <w:instrText xml:space="preserve"> SEQ Figure \* ARABIC </w:instrText>
      </w:r>
      <w:r w:rsidR="00964BE7" w:rsidRPr="00F53A0E">
        <w:fldChar w:fldCharType="separate"/>
      </w:r>
      <w:r w:rsidR="006D18FB">
        <w:rPr>
          <w:noProof/>
        </w:rPr>
        <w:t>2</w:t>
      </w:r>
      <w:r w:rsidR="00964BE7" w:rsidRPr="00F53A0E">
        <w:rPr>
          <w:noProof/>
        </w:rPr>
        <w:fldChar w:fldCharType="end"/>
      </w:r>
      <w:bookmarkEnd w:id="3"/>
      <w:r w:rsidRPr="002108FA">
        <w:t xml:space="preserve"> - Navigation tree to Authorisations / Decisions Management</w:t>
      </w:r>
      <w:bookmarkEnd w:id="4"/>
    </w:p>
    <w:p w14:paraId="52A70A36" w14:textId="334047EB" w:rsidR="00E9189D" w:rsidRPr="002108FA" w:rsidRDefault="00E9189D">
      <w:pPr>
        <w:pStyle w:val="Heading2"/>
      </w:pPr>
      <w:bookmarkStart w:id="5" w:name="_Ref483819466"/>
      <w:r w:rsidRPr="002108FA">
        <w:t>Advantages of the CDS</w:t>
      </w:r>
    </w:p>
    <w:p w14:paraId="0E2AC2DC" w14:textId="77777777" w:rsidR="00F018F8" w:rsidRPr="002108FA" w:rsidRDefault="00F018F8" w:rsidP="00F018F8">
      <w:r w:rsidRPr="002108FA">
        <w:t xml:space="preserve">The use of the Customs Decisions system leads to several advantages. </w:t>
      </w:r>
    </w:p>
    <w:p w14:paraId="198227CC" w14:textId="77777777" w:rsidR="00F018F8" w:rsidRPr="002108FA" w:rsidRDefault="00F018F8" w:rsidP="00F018F8">
      <w:r w:rsidRPr="002108FA">
        <w:t>First, only one trans-European system (CDS) is used to deal with the 22 applications/authorisations. This greatly simplifies the applications/authorisation management and it enables all customs authorities “to act as one”.</w:t>
      </w:r>
    </w:p>
    <w:p w14:paraId="313D8797" w14:textId="6CD834A4" w:rsidR="00F018F8" w:rsidRPr="002108FA" w:rsidRDefault="00F018F8" w:rsidP="00F018F8">
      <w:r w:rsidRPr="002108FA">
        <w:t>Another advantage consists in the harmonisation of the procedures of the applications/authorisations management and of the data requirements. These harmoni</w:t>
      </w:r>
      <w:r w:rsidR="00BB1C70" w:rsidRPr="002108FA">
        <w:t>s</w:t>
      </w:r>
      <w:r w:rsidRPr="002108FA">
        <w:t>ed procedures are defined by the EU Customs BPM.</w:t>
      </w:r>
    </w:p>
    <w:p w14:paraId="20877477" w14:textId="2727565D" w:rsidR="00F018F8" w:rsidRPr="002108FA" w:rsidRDefault="00F018F8" w:rsidP="00F018F8">
      <w:r w:rsidRPr="002108FA">
        <w:t>Last, the use of the unique system EU Trader Portal (as defined in Art. 10 IA) for authentication and access for economic operators (UUM</w:t>
      </w:r>
      <w:r w:rsidR="00BB1C70" w:rsidRPr="002108FA">
        <w:t>&amp;</w:t>
      </w:r>
      <w:r w:rsidRPr="002108FA">
        <w:t>DS) leads to a better efficiency for the economic operators to interact with the customs authorities.</w:t>
      </w:r>
    </w:p>
    <w:p w14:paraId="19C71D06" w14:textId="2FFCB95C" w:rsidR="00833CA8" w:rsidRPr="002108FA" w:rsidRDefault="00C661B4">
      <w:pPr>
        <w:pStyle w:val="Heading2"/>
      </w:pPr>
      <w:r w:rsidRPr="002108FA">
        <w:t>Planning</w:t>
      </w:r>
    </w:p>
    <w:p w14:paraId="4B73AE90" w14:textId="49ED4F73" w:rsidR="00C661B4" w:rsidRPr="00F53A0E" w:rsidRDefault="00C661B4" w:rsidP="00F53A0E">
      <w:r w:rsidRPr="00F53A0E">
        <w:t xml:space="preserve">The GO LIVE for the new Customs Decisions system </w:t>
      </w:r>
      <w:r w:rsidR="00E24FFB">
        <w:t>was on the</w:t>
      </w:r>
      <w:r w:rsidRPr="00F53A0E">
        <w:t xml:space="preserve"> 2 October 2017. </w:t>
      </w:r>
      <w:r w:rsidR="00E24FFB">
        <w:t>Since</w:t>
      </w:r>
      <w:r w:rsidR="00E24FFB" w:rsidRPr="00F53A0E">
        <w:t xml:space="preserve"> </w:t>
      </w:r>
      <w:r w:rsidRPr="00F53A0E">
        <w:t xml:space="preserve">that moment </w:t>
      </w:r>
      <w:r w:rsidR="00F53A0E">
        <w:t xml:space="preserve">on, </w:t>
      </w:r>
      <w:r w:rsidRPr="00F53A0E">
        <w:t xml:space="preserve">all the exchanges of information such as applications or authorisations shall be made using the Customs Decision system (Art. 6(1) UCC). Consequently, no paper-based applications </w:t>
      </w:r>
      <w:r w:rsidR="00E24FFB">
        <w:t xml:space="preserve">are being </w:t>
      </w:r>
      <w:r w:rsidRPr="00F53A0E">
        <w:t>processed anymore.</w:t>
      </w:r>
    </w:p>
    <w:p w14:paraId="70334223" w14:textId="7DE27948" w:rsidR="00755BCF" w:rsidRPr="00F53A0E" w:rsidRDefault="00755BCF" w:rsidP="00F53A0E">
      <w:r w:rsidRPr="00F53A0E">
        <w:t>From the 2 October 2017 until the 1 May 2019</w:t>
      </w:r>
      <w:r w:rsidR="00F53A0E">
        <w:t>,</w:t>
      </w:r>
      <w:r w:rsidRPr="00F53A0E">
        <w:t xml:space="preserve"> all the existing authorisations (paper-based) should be re-assessed in order to be inserted in the new system.</w:t>
      </w:r>
    </w:p>
    <w:p w14:paraId="392546EE" w14:textId="5452BF12" w:rsidR="00755BCF" w:rsidRPr="00F53A0E" w:rsidRDefault="00755BCF" w:rsidP="00F53A0E">
      <w:r w:rsidRPr="00F53A0E">
        <w:t xml:space="preserve">Also, </w:t>
      </w:r>
      <w:r w:rsidR="00E24FFB">
        <w:t>since</w:t>
      </w:r>
      <w:r w:rsidRPr="00F53A0E">
        <w:t xml:space="preserve"> the 2 October 2017</w:t>
      </w:r>
      <w:r w:rsidR="00F53A0E">
        <w:t>,</w:t>
      </w:r>
      <w:r w:rsidRPr="00F53A0E">
        <w:t xml:space="preserve"> the existing RSS </w:t>
      </w:r>
      <w:r w:rsidR="00F53A0E">
        <w:t xml:space="preserve">IT </w:t>
      </w:r>
      <w:r w:rsidRPr="00F53A0E">
        <w:t xml:space="preserve">application </w:t>
      </w:r>
      <w:r w:rsidR="00E24FFB">
        <w:t>is progressively</w:t>
      </w:r>
      <w:r w:rsidR="00E24FFB" w:rsidRPr="00F53A0E">
        <w:t xml:space="preserve"> </w:t>
      </w:r>
      <w:r w:rsidRPr="00F53A0E">
        <w:t>fad</w:t>
      </w:r>
      <w:r w:rsidR="00E24FFB">
        <w:t>ing</w:t>
      </w:r>
      <w:r w:rsidRPr="00F53A0E">
        <w:t xml:space="preserve"> out in order to be replaced by the new Customs Decisions system.</w:t>
      </w:r>
    </w:p>
    <w:p w14:paraId="4A51A39B" w14:textId="3491C770" w:rsidR="00DD773C" w:rsidRPr="00F53A0E" w:rsidRDefault="00F53A0E" w:rsidP="00F53A0E">
      <w:r>
        <w:fldChar w:fldCharType="begin"/>
      </w:r>
      <w:r>
        <w:instrText xml:space="preserve"> REF _Ref487446039 \h </w:instrText>
      </w:r>
      <w:r>
        <w:fldChar w:fldCharType="separate"/>
      </w:r>
      <w:r w:rsidR="006D18FB" w:rsidRPr="002108FA">
        <w:t xml:space="preserve">Figure </w:t>
      </w:r>
      <w:r w:rsidR="006D18FB">
        <w:rPr>
          <w:noProof/>
        </w:rPr>
        <w:t>3</w:t>
      </w:r>
      <w:r>
        <w:fldChar w:fldCharType="end"/>
      </w:r>
      <w:r w:rsidR="00DD773C" w:rsidRPr="00F53A0E">
        <w:t xml:space="preserve"> </w:t>
      </w:r>
      <w:r>
        <w:t xml:space="preserve">displays </w:t>
      </w:r>
      <w:r w:rsidR="00C5492B" w:rsidRPr="00F53A0E">
        <w:t>the timeline</w:t>
      </w:r>
      <w:r w:rsidR="00DD773C" w:rsidRPr="00F53A0E">
        <w:t xml:space="preserve"> of these operations</w:t>
      </w:r>
      <w:r>
        <w:t>.</w:t>
      </w:r>
    </w:p>
    <w:p w14:paraId="378D5CA0" w14:textId="77777777" w:rsidR="00DD773C" w:rsidRPr="002108FA" w:rsidRDefault="00DD773C" w:rsidP="00F53A0E">
      <w:pPr>
        <w:keepNext/>
        <w:jc w:val="center"/>
      </w:pPr>
      <w:r w:rsidRPr="002108FA">
        <w:rPr>
          <w:noProof/>
          <w:lang w:eastAsia="en-GB"/>
        </w:rPr>
        <w:drawing>
          <wp:inline distT="0" distB="0" distL="0" distR="0" wp14:anchorId="52E35B6F" wp14:editId="04870183">
            <wp:extent cx="5760720" cy="4035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_timeline.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035425"/>
                    </a:xfrm>
                    <a:prstGeom prst="rect">
                      <a:avLst/>
                    </a:prstGeom>
                  </pic:spPr>
                </pic:pic>
              </a:graphicData>
            </a:graphic>
          </wp:inline>
        </w:drawing>
      </w:r>
    </w:p>
    <w:p w14:paraId="0967EAF2" w14:textId="479784F9" w:rsidR="00755BCF" w:rsidRPr="00F53A0E" w:rsidRDefault="00DD773C" w:rsidP="00F53A0E">
      <w:pPr>
        <w:pStyle w:val="Caption"/>
      </w:pPr>
      <w:bookmarkStart w:id="6" w:name="_Ref487446039"/>
      <w:bookmarkStart w:id="7" w:name="_Ref487446034"/>
      <w:r w:rsidRPr="002108FA">
        <w:t xml:space="preserve">Figure </w:t>
      </w:r>
      <w:r w:rsidR="000116F9">
        <w:rPr>
          <w:noProof/>
        </w:rPr>
        <w:fldChar w:fldCharType="begin"/>
      </w:r>
      <w:r w:rsidR="000116F9">
        <w:rPr>
          <w:noProof/>
        </w:rPr>
        <w:instrText xml:space="preserve"> SEQ Figure \* ARABIC </w:instrText>
      </w:r>
      <w:r w:rsidR="000116F9">
        <w:rPr>
          <w:noProof/>
        </w:rPr>
        <w:fldChar w:fldCharType="separate"/>
      </w:r>
      <w:r w:rsidR="006D18FB">
        <w:rPr>
          <w:noProof/>
        </w:rPr>
        <w:t>3</w:t>
      </w:r>
      <w:r w:rsidR="000116F9">
        <w:rPr>
          <w:noProof/>
        </w:rPr>
        <w:fldChar w:fldCharType="end"/>
      </w:r>
      <w:bookmarkEnd w:id="6"/>
      <w:r w:rsidR="00F53A0E">
        <w:t xml:space="preserve"> -</w:t>
      </w:r>
      <w:r w:rsidRPr="00F53A0E">
        <w:t xml:space="preserve"> Operations timeline</w:t>
      </w:r>
      <w:bookmarkEnd w:id="7"/>
    </w:p>
    <w:p w14:paraId="72508747" w14:textId="413D5596" w:rsidR="00F84125" w:rsidRPr="00F53A0E" w:rsidRDefault="00AC7862" w:rsidP="00F53A0E">
      <w:pPr>
        <w:pStyle w:val="Heading2"/>
      </w:pPr>
      <w:r w:rsidRPr="002108FA">
        <w:t>Scope</w:t>
      </w:r>
    </w:p>
    <w:p w14:paraId="6161EFA8" w14:textId="78AAD8A2" w:rsidR="00F84125" w:rsidRPr="002108FA" w:rsidRDefault="00F84125" w:rsidP="00F53A0E">
      <w:r w:rsidRPr="002108FA">
        <w:t>The Customs Decisions system is aimed to handle the authorisations in a unique way using the same electronic information system.</w:t>
      </w:r>
    </w:p>
    <w:p w14:paraId="5645EABE" w14:textId="37D3026D" w:rsidR="00AC7862" w:rsidRPr="00810B5C" w:rsidRDefault="00F53A0E" w:rsidP="00F53A0E">
      <w:r>
        <w:t xml:space="preserve">Annex A of the Commission Delegated Regulation lists all </w:t>
      </w:r>
      <w:r w:rsidR="00F84125" w:rsidRPr="00DE58D4">
        <w:t xml:space="preserve">possible </w:t>
      </w:r>
      <w:r>
        <w:t>authorisation and decision</w:t>
      </w:r>
      <w:r w:rsidR="00AC7862" w:rsidRPr="00DE58D4">
        <w:t xml:space="preserve"> types</w:t>
      </w:r>
      <w:r w:rsidR="00F84125" w:rsidRPr="00DE58D4">
        <w:t xml:space="preserve"> for </w:t>
      </w:r>
      <w:r>
        <w:t>which a c</w:t>
      </w:r>
      <w:r w:rsidR="00AC7862" w:rsidRPr="00F53A0E">
        <w:t xml:space="preserve">ustoms </w:t>
      </w:r>
      <w:r>
        <w:t>d</w:t>
      </w:r>
      <w:r w:rsidR="00AC7862" w:rsidRPr="00F53A0E">
        <w:t>ecision</w:t>
      </w:r>
      <w:r w:rsidR="00F84125" w:rsidRPr="00F53A0E">
        <w:t xml:space="preserve"> </w:t>
      </w:r>
      <w:r>
        <w:t xml:space="preserve">can be granted. However, it is worth noting that </w:t>
      </w:r>
      <w:r w:rsidR="00F84125" w:rsidRPr="00F53A0E">
        <w:t>o</w:t>
      </w:r>
      <w:r w:rsidR="00AC7862" w:rsidRPr="00F53A0E">
        <w:t xml:space="preserve">nly 22 </w:t>
      </w:r>
      <w:r w:rsidR="00EC37A9" w:rsidRPr="00F53A0E">
        <w:t xml:space="preserve">of them </w:t>
      </w:r>
      <w:r w:rsidR="00AC7862" w:rsidRPr="00F53A0E">
        <w:t>are covered by the Customs Decisions system (</w:t>
      </w:r>
      <w:r w:rsidR="00F84125" w:rsidRPr="00F53A0E">
        <w:t>listed in section</w:t>
      </w:r>
      <w:r w:rsidR="004F7C67" w:rsidRPr="00F53A0E">
        <w:t xml:space="preserve"> </w:t>
      </w:r>
      <w:r w:rsidR="004F7C67" w:rsidRPr="00F53A0E">
        <w:fldChar w:fldCharType="begin"/>
      </w:r>
      <w:r w:rsidR="004F7C67" w:rsidRPr="00F53A0E">
        <w:instrText xml:space="preserve"> REF _Ref486859170 \w \h </w:instrText>
      </w:r>
      <w:r w:rsidR="00EC37A9" w:rsidRPr="00F53A0E">
        <w:instrText xml:space="preserve"> \* MERGEFORMAT </w:instrText>
      </w:r>
      <w:r w:rsidR="004F7C67" w:rsidRPr="00F53A0E">
        <w:fldChar w:fldCharType="separate"/>
      </w:r>
      <w:r w:rsidR="006D18FB">
        <w:t>1.8</w:t>
      </w:r>
      <w:r w:rsidR="004F7C67" w:rsidRPr="00F53A0E">
        <w:fldChar w:fldCharType="end"/>
      </w:r>
      <w:r w:rsidR="004F7C67" w:rsidRPr="00F53A0E">
        <w:t>).</w:t>
      </w:r>
      <w:r w:rsidR="00F84125" w:rsidRPr="00F53A0E">
        <w:t xml:space="preserve"> The following authorisations are not in the scope of the CDS:</w:t>
      </w:r>
    </w:p>
    <w:p w14:paraId="3B0E8407" w14:textId="1D6AA8DE" w:rsidR="002108FA" w:rsidRPr="00592268" w:rsidRDefault="002108FA" w:rsidP="00AC44B1">
      <w:pPr>
        <w:numPr>
          <w:ilvl w:val="0"/>
          <w:numId w:val="47"/>
        </w:numPr>
        <w:ind w:left="568" w:hanging="284"/>
      </w:pPr>
      <w:r w:rsidRPr="00810B5C">
        <w:t xml:space="preserve">AEOC: </w:t>
      </w:r>
      <w:r w:rsidRPr="00F53A0E">
        <w:t>A</w:t>
      </w:r>
      <w:r w:rsidRPr="00592268">
        <w:t>uthorisation</w:t>
      </w:r>
      <w:r w:rsidRPr="00F53A0E">
        <w:t xml:space="preserve"> for the status of </w:t>
      </w:r>
      <w:r w:rsidRPr="00592268">
        <w:t>Authorised</w:t>
      </w:r>
      <w:r w:rsidRPr="00F53A0E">
        <w:t xml:space="preserve"> Economic Operator - Customs simplifications;</w:t>
      </w:r>
    </w:p>
    <w:p w14:paraId="36EBCA46" w14:textId="29BB4F0B" w:rsidR="002108FA" w:rsidRPr="00592268" w:rsidRDefault="002108FA" w:rsidP="00AC44B1">
      <w:pPr>
        <w:numPr>
          <w:ilvl w:val="0"/>
          <w:numId w:val="47"/>
        </w:numPr>
        <w:ind w:left="568" w:hanging="284"/>
      </w:pPr>
      <w:r w:rsidRPr="00F53A0E">
        <w:t>AEOS: A</w:t>
      </w:r>
      <w:r w:rsidRPr="00592268">
        <w:t>uthorisation</w:t>
      </w:r>
      <w:r w:rsidRPr="00F53A0E">
        <w:t xml:space="preserve"> for the status of </w:t>
      </w:r>
      <w:r w:rsidRPr="00592268">
        <w:t>Authorised</w:t>
      </w:r>
      <w:r w:rsidRPr="00F53A0E">
        <w:t xml:space="preserve"> Economic Operator - Security and safety;</w:t>
      </w:r>
    </w:p>
    <w:p w14:paraId="24A3476A" w14:textId="257FC74D" w:rsidR="00F84125" w:rsidRPr="00810B5C" w:rsidRDefault="002108FA" w:rsidP="00AC44B1">
      <w:pPr>
        <w:numPr>
          <w:ilvl w:val="0"/>
          <w:numId w:val="47"/>
        </w:numPr>
        <w:ind w:left="568" w:hanging="284"/>
      </w:pPr>
      <w:r w:rsidRPr="00F53A0E">
        <w:t>AEOF: Authorisation for the status of Authorised Economic Operator Customs simplifications/Security and safety</w:t>
      </w:r>
      <w:r w:rsidRPr="00810B5C">
        <w:t>;</w:t>
      </w:r>
    </w:p>
    <w:p w14:paraId="2297FE5F" w14:textId="0D6F63F5" w:rsidR="00F84125" w:rsidRPr="00810B5C" w:rsidRDefault="00F84125" w:rsidP="00AC44B1">
      <w:pPr>
        <w:numPr>
          <w:ilvl w:val="0"/>
          <w:numId w:val="47"/>
        </w:numPr>
        <w:ind w:left="568" w:hanging="284"/>
      </w:pPr>
      <w:r w:rsidRPr="00810B5C">
        <w:t xml:space="preserve">BOI: </w:t>
      </w:r>
      <w:r w:rsidR="00F53A0E">
        <w:t>D</w:t>
      </w:r>
      <w:r w:rsidR="00DD3BB0" w:rsidRPr="00F53A0E">
        <w:t>ecision relating to Binding Origin Information</w:t>
      </w:r>
      <w:r w:rsidRPr="00810B5C">
        <w:t>;</w:t>
      </w:r>
    </w:p>
    <w:p w14:paraId="11532C9E" w14:textId="5529D97E" w:rsidR="00F84125" w:rsidRPr="00810B5C" w:rsidRDefault="00F84125" w:rsidP="00AC44B1">
      <w:pPr>
        <w:numPr>
          <w:ilvl w:val="0"/>
          <w:numId w:val="47"/>
        </w:numPr>
        <w:ind w:left="568" w:hanging="284"/>
      </w:pPr>
      <w:r w:rsidRPr="00810B5C">
        <w:t xml:space="preserve">BTI: </w:t>
      </w:r>
      <w:r w:rsidR="00F53A0E">
        <w:t>D</w:t>
      </w:r>
      <w:r w:rsidR="00592268" w:rsidRPr="00F53A0E">
        <w:t>ecision relating to Binding Tariff Information</w:t>
      </w:r>
      <w:r w:rsidRPr="00592268">
        <w:t>;</w:t>
      </w:r>
    </w:p>
    <w:p w14:paraId="3EE35887" w14:textId="2F8DCE85" w:rsidR="00F84125" w:rsidRPr="00810B5C" w:rsidRDefault="00F84125" w:rsidP="00AC44B1">
      <w:pPr>
        <w:numPr>
          <w:ilvl w:val="0"/>
          <w:numId w:val="47"/>
        </w:numPr>
        <w:ind w:left="568" w:hanging="284"/>
      </w:pPr>
      <w:r w:rsidRPr="00810B5C">
        <w:t xml:space="preserve">REM: </w:t>
      </w:r>
      <w:r w:rsidR="00F53A0E">
        <w:t>D</w:t>
      </w:r>
      <w:r w:rsidR="00592268" w:rsidRPr="00F53A0E">
        <w:t xml:space="preserve">ecision for the remission of </w:t>
      </w:r>
      <w:r w:rsidR="00F53A0E" w:rsidRPr="00F53A0E">
        <w:t>the amounts</w:t>
      </w:r>
      <w:r w:rsidR="00592268" w:rsidRPr="00F53A0E">
        <w:t xml:space="preserve"> of import or export duty</w:t>
      </w:r>
      <w:r w:rsidRPr="00592268">
        <w:t>;</w:t>
      </w:r>
    </w:p>
    <w:p w14:paraId="4115DB17" w14:textId="27B23E46" w:rsidR="00F84125" w:rsidRPr="00810B5C" w:rsidRDefault="00F84125" w:rsidP="00AC44B1">
      <w:pPr>
        <w:numPr>
          <w:ilvl w:val="0"/>
          <w:numId w:val="47"/>
        </w:numPr>
        <w:ind w:left="568" w:hanging="284"/>
      </w:pPr>
      <w:r w:rsidRPr="00810B5C">
        <w:t xml:space="preserve">REP: </w:t>
      </w:r>
      <w:r w:rsidR="00F53A0E">
        <w:t>D</w:t>
      </w:r>
      <w:r w:rsidR="00592268" w:rsidRPr="00F53A0E">
        <w:t>ecision for the repayment of the amounts of import or export duty</w:t>
      </w:r>
      <w:r w:rsidRPr="00810B5C">
        <w:t>.</w:t>
      </w:r>
    </w:p>
    <w:p w14:paraId="1C6DF24B" w14:textId="7423F608" w:rsidR="00F84125" w:rsidRPr="00810B5C" w:rsidRDefault="00E20758" w:rsidP="00F53A0E">
      <w:r w:rsidRPr="00810B5C">
        <w:t>AEO</w:t>
      </w:r>
      <w:r w:rsidR="00F53A0E">
        <w:t xml:space="preserve"> authorisations</w:t>
      </w:r>
      <w:r w:rsidRPr="00810B5C">
        <w:t xml:space="preserve"> and BTI </w:t>
      </w:r>
      <w:r w:rsidR="00F53A0E">
        <w:t>decisions keep being</w:t>
      </w:r>
      <w:r w:rsidRPr="00810B5C">
        <w:t xml:space="preserve"> maintained in their dedicated systems.</w:t>
      </w:r>
    </w:p>
    <w:p w14:paraId="19347E22" w14:textId="4C0604C7" w:rsidR="001A083B" w:rsidRPr="002108FA" w:rsidRDefault="001A083B" w:rsidP="003B59D7">
      <w:pPr>
        <w:pStyle w:val="Heading2"/>
      </w:pPr>
      <w:bookmarkStart w:id="8" w:name="_Ref486940420"/>
      <w:r w:rsidRPr="002108FA">
        <w:t>Definitions</w:t>
      </w:r>
      <w:bookmarkEnd w:id="5"/>
      <w:bookmarkEnd w:id="8"/>
    </w:p>
    <w:p w14:paraId="1DF2248E" w14:textId="27A67CD3" w:rsidR="003B59D7" w:rsidRPr="002108FA" w:rsidRDefault="004208D1" w:rsidP="003B59D7">
      <w:r w:rsidRPr="00F53A0E">
        <w:fldChar w:fldCharType="begin"/>
      </w:r>
      <w:r w:rsidRPr="002108FA">
        <w:instrText xml:space="preserve"> REF _Ref484090889 \h </w:instrText>
      </w:r>
      <w:r w:rsidRPr="00F53A0E">
        <w:fldChar w:fldCharType="separate"/>
      </w:r>
      <w:r w:rsidR="006D18FB" w:rsidRPr="002108FA">
        <w:t xml:space="preserve">Table </w:t>
      </w:r>
      <w:r w:rsidR="006D18FB">
        <w:rPr>
          <w:noProof/>
        </w:rPr>
        <w:t>1</w:t>
      </w:r>
      <w:r w:rsidRPr="00F53A0E">
        <w:fldChar w:fldCharType="end"/>
      </w:r>
      <w:r w:rsidRPr="002108FA">
        <w:t xml:space="preserve"> </w:t>
      </w:r>
      <w:r w:rsidR="003B59D7" w:rsidRPr="002108FA">
        <w:t>l</w:t>
      </w:r>
      <w:r w:rsidR="00191E86">
        <w:t>ays</w:t>
      </w:r>
      <w:r w:rsidR="003B59D7" w:rsidRPr="002108FA">
        <w:t xml:space="preserve"> down the different definitions used all over the business user guide.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520"/>
        <w:gridCol w:w="6660"/>
      </w:tblGrid>
      <w:tr w:rsidR="003B59D7" w:rsidRPr="002108FA" w14:paraId="5FDBE81F" w14:textId="77777777" w:rsidTr="003B59D7">
        <w:trPr>
          <w:trHeight w:val="340"/>
          <w:tblHeader/>
          <w:jc w:val="center"/>
        </w:trPr>
        <w:tc>
          <w:tcPr>
            <w:tcW w:w="2520" w:type="dxa"/>
            <w:tcBorders>
              <w:bottom w:val="nil"/>
            </w:tcBorders>
            <w:shd w:val="clear" w:color="auto" w:fill="2F5496"/>
            <w:vAlign w:val="center"/>
          </w:tcPr>
          <w:p w14:paraId="5827CB6E" w14:textId="590644F5" w:rsidR="003B59D7" w:rsidRPr="002108FA" w:rsidRDefault="003B59D7" w:rsidP="003B59D7">
            <w:pPr>
              <w:pStyle w:val="TableHeading"/>
              <w:rPr>
                <w:rFonts w:cs="Arial"/>
                <w:color w:val="FFFFFF"/>
                <w:sz w:val="18"/>
                <w:szCs w:val="18"/>
                <w:lang w:val="en-GB"/>
              </w:rPr>
            </w:pPr>
            <w:r w:rsidRPr="002108FA">
              <w:rPr>
                <w:rFonts w:cs="Arial"/>
                <w:color w:val="FFFFFF"/>
                <w:sz w:val="18"/>
                <w:szCs w:val="18"/>
                <w:lang w:val="en-GB"/>
              </w:rPr>
              <w:t>Term</w:t>
            </w:r>
          </w:p>
        </w:tc>
        <w:tc>
          <w:tcPr>
            <w:tcW w:w="6660" w:type="dxa"/>
            <w:tcBorders>
              <w:bottom w:val="nil"/>
            </w:tcBorders>
            <w:shd w:val="clear" w:color="auto" w:fill="2F5496"/>
            <w:vAlign w:val="center"/>
          </w:tcPr>
          <w:p w14:paraId="09B42AD5" w14:textId="77777777" w:rsidR="003B59D7" w:rsidRPr="002108FA" w:rsidRDefault="003B59D7" w:rsidP="003B59D7">
            <w:pPr>
              <w:pStyle w:val="TableHeading"/>
              <w:rPr>
                <w:rFonts w:cs="Arial"/>
                <w:color w:val="FFFFFF"/>
                <w:sz w:val="18"/>
                <w:szCs w:val="18"/>
                <w:lang w:val="en-GB"/>
              </w:rPr>
            </w:pPr>
            <w:r w:rsidRPr="002108FA">
              <w:rPr>
                <w:rFonts w:cs="Arial"/>
                <w:color w:val="FFFFFF"/>
                <w:sz w:val="18"/>
                <w:szCs w:val="18"/>
                <w:lang w:val="en-GB"/>
              </w:rPr>
              <w:t>Definition</w:t>
            </w:r>
          </w:p>
        </w:tc>
      </w:tr>
      <w:tr w:rsidR="003B59D7" w:rsidRPr="002108FA" w14:paraId="558F1B8B" w14:textId="77777777" w:rsidTr="003B59D7">
        <w:trPr>
          <w:jc w:val="center"/>
        </w:trPr>
        <w:tc>
          <w:tcPr>
            <w:tcW w:w="2520" w:type="dxa"/>
            <w:vAlign w:val="center"/>
          </w:tcPr>
          <w:p w14:paraId="1264D6B0" w14:textId="3311D0F6" w:rsidR="003B59D7" w:rsidRPr="002108FA" w:rsidRDefault="003B59D7" w:rsidP="003B59D7">
            <w:pPr>
              <w:spacing w:before="60" w:after="60"/>
              <w:jc w:val="left"/>
              <w:rPr>
                <w:rFonts w:cs="Arial"/>
                <w:snapToGrid w:val="0"/>
                <w:sz w:val="18"/>
                <w:szCs w:val="18"/>
                <w:highlight w:val="yellow"/>
              </w:rPr>
            </w:pPr>
            <w:r w:rsidRPr="002108FA">
              <w:rPr>
                <w:rFonts w:cs="Arial"/>
                <w:snapToGrid w:val="0"/>
                <w:sz w:val="18"/>
                <w:szCs w:val="18"/>
              </w:rPr>
              <w:t>Application</w:t>
            </w:r>
          </w:p>
        </w:tc>
        <w:tc>
          <w:tcPr>
            <w:tcW w:w="6660" w:type="dxa"/>
            <w:vAlign w:val="center"/>
          </w:tcPr>
          <w:p w14:paraId="418CE738" w14:textId="63D81069" w:rsidR="003B59D7" w:rsidRPr="00F53A0E" w:rsidRDefault="003B59D7" w:rsidP="003B59D7">
            <w:pPr>
              <w:spacing w:before="60" w:after="60"/>
              <w:jc w:val="left"/>
              <w:rPr>
                <w:rFonts w:cs="Arial"/>
                <w:sz w:val="18"/>
                <w:szCs w:val="18"/>
                <w:highlight w:val="yellow"/>
              </w:rPr>
            </w:pPr>
            <w:r w:rsidRPr="00F53A0E">
              <w:rPr>
                <w:rFonts w:cs="Arial"/>
                <w:sz w:val="18"/>
                <w:szCs w:val="18"/>
              </w:rPr>
              <w:t>A formal request to be granted a customs decision, submitted to the customs authorities.</w:t>
            </w:r>
          </w:p>
        </w:tc>
      </w:tr>
      <w:tr w:rsidR="003B59D7" w:rsidRPr="002108FA" w14:paraId="27A1BCB1" w14:textId="77777777" w:rsidTr="003B59D7">
        <w:trPr>
          <w:jc w:val="center"/>
        </w:trPr>
        <w:tc>
          <w:tcPr>
            <w:tcW w:w="2520" w:type="dxa"/>
            <w:vAlign w:val="center"/>
          </w:tcPr>
          <w:p w14:paraId="6E209948" w14:textId="0B107272" w:rsidR="003B59D7" w:rsidRPr="002108FA" w:rsidRDefault="003B59D7" w:rsidP="003B59D7">
            <w:pPr>
              <w:spacing w:before="60" w:after="60"/>
              <w:jc w:val="left"/>
              <w:rPr>
                <w:rFonts w:cs="Arial"/>
                <w:snapToGrid w:val="0"/>
                <w:sz w:val="18"/>
                <w:szCs w:val="18"/>
              </w:rPr>
            </w:pPr>
            <w:r w:rsidRPr="002108FA">
              <w:rPr>
                <w:rFonts w:cs="Arial"/>
                <w:snapToGrid w:val="0"/>
                <w:sz w:val="18"/>
                <w:szCs w:val="18"/>
              </w:rPr>
              <w:t>Authorisation</w:t>
            </w:r>
          </w:p>
        </w:tc>
        <w:tc>
          <w:tcPr>
            <w:tcW w:w="6660" w:type="dxa"/>
            <w:vAlign w:val="center"/>
          </w:tcPr>
          <w:p w14:paraId="73A54DAC" w14:textId="526F79CA" w:rsidR="003B59D7" w:rsidRPr="00F53A0E" w:rsidRDefault="003B59D7" w:rsidP="00B91B22">
            <w:pPr>
              <w:spacing w:before="60" w:after="60"/>
              <w:jc w:val="left"/>
              <w:rPr>
                <w:rFonts w:cs="Arial"/>
                <w:snapToGrid w:val="0"/>
                <w:sz w:val="18"/>
                <w:szCs w:val="18"/>
              </w:rPr>
            </w:pPr>
            <w:r w:rsidRPr="00F53A0E">
              <w:rPr>
                <w:rFonts w:cs="Arial"/>
                <w:snapToGrid w:val="0"/>
                <w:sz w:val="18"/>
                <w:szCs w:val="18"/>
              </w:rPr>
              <w:t>Act by the customs authorities that pertains to the customs legislation giving a ruling on a particular case, and having legal effects on the person or persons concerned</w:t>
            </w:r>
            <w:r w:rsidR="00DA37D8" w:rsidRPr="00F53A0E">
              <w:rPr>
                <w:rFonts w:cs="Arial"/>
                <w:snapToGrid w:val="0"/>
                <w:sz w:val="18"/>
                <w:szCs w:val="18"/>
              </w:rPr>
              <w:t xml:space="preserve"> (Art. 5(39) UCC)</w:t>
            </w:r>
            <w:r w:rsidR="00B91B22" w:rsidRPr="00F53A0E">
              <w:rPr>
                <w:rFonts w:cs="Arial"/>
                <w:snapToGrid w:val="0"/>
                <w:sz w:val="18"/>
                <w:szCs w:val="18"/>
              </w:rPr>
              <w:t>.</w:t>
            </w:r>
          </w:p>
        </w:tc>
      </w:tr>
      <w:tr w:rsidR="003B59D7" w:rsidRPr="002108FA" w14:paraId="22815BD2" w14:textId="77777777" w:rsidTr="003B59D7">
        <w:trPr>
          <w:jc w:val="center"/>
        </w:trPr>
        <w:tc>
          <w:tcPr>
            <w:tcW w:w="2520" w:type="dxa"/>
            <w:vAlign w:val="center"/>
          </w:tcPr>
          <w:p w14:paraId="02D099DD" w14:textId="68C692DD" w:rsidR="003B59D7" w:rsidRPr="002108FA" w:rsidRDefault="003B59D7" w:rsidP="003B59D7">
            <w:pPr>
              <w:spacing w:before="60" w:after="60"/>
              <w:jc w:val="left"/>
              <w:rPr>
                <w:rFonts w:cs="Arial"/>
                <w:snapToGrid w:val="0"/>
                <w:sz w:val="18"/>
                <w:szCs w:val="18"/>
              </w:rPr>
            </w:pPr>
            <w:r w:rsidRPr="002108FA">
              <w:rPr>
                <w:rFonts w:cs="Arial"/>
                <w:snapToGrid w:val="0"/>
                <w:sz w:val="18"/>
                <w:szCs w:val="18"/>
              </w:rPr>
              <w:t xml:space="preserve">Customs </w:t>
            </w:r>
            <w:r w:rsidR="00AC1B92" w:rsidRPr="002108FA">
              <w:rPr>
                <w:rFonts w:cs="Arial"/>
                <w:snapToGrid w:val="0"/>
                <w:sz w:val="18"/>
                <w:szCs w:val="18"/>
              </w:rPr>
              <w:t>d</w:t>
            </w:r>
            <w:r w:rsidRPr="002108FA">
              <w:rPr>
                <w:rFonts w:cs="Arial"/>
                <w:snapToGrid w:val="0"/>
                <w:sz w:val="18"/>
                <w:szCs w:val="18"/>
              </w:rPr>
              <w:t>ecision</w:t>
            </w:r>
          </w:p>
        </w:tc>
        <w:tc>
          <w:tcPr>
            <w:tcW w:w="6660" w:type="dxa"/>
            <w:vAlign w:val="center"/>
          </w:tcPr>
          <w:p w14:paraId="17AB524F" w14:textId="017885E3" w:rsidR="003B59D7" w:rsidRPr="00F53A0E" w:rsidRDefault="003B59D7" w:rsidP="003B59D7">
            <w:pPr>
              <w:spacing w:before="60" w:after="60"/>
              <w:jc w:val="left"/>
              <w:rPr>
                <w:rFonts w:cs="Arial"/>
                <w:snapToGrid w:val="0"/>
                <w:sz w:val="18"/>
                <w:szCs w:val="18"/>
              </w:rPr>
            </w:pPr>
            <w:r w:rsidRPr="00F53A0E">
              <w:rPr>
                <w:rFonts w:cs="Arial"/>
                <w:snapToGrid w:val="0"/>
                <w:sz w:val="18"/>
                <w:szCs w:val="18"/>
              </w:rPr>
              <w:t>Synonym of Authorisation, in this context.</w:t>
            </w:r>
          </w:p>
        </w:tc>
      </w:tr>
      <w:tr w:rsidR="003B59D7" w:rsidRPr="002108FA" w14:paraId="0F2DA8F7" w14:textId="77777777" w:rsidTr="003B59D7">
        <w:trPr>
          <w:jc w:val="center"/>
        </w:trPr>
        <w:tc>
          <w:tcPr>
            <w:tcW w:w="2520" w:type="dxa"/>
          </w:tcPr>
          <w:p w14:paraId="19F63F88" w14:textId="43EFD491" w:rsidR="003B59D7" w:rsidRPr="002108FA" w:rsidRDefault="003B59D7" w:rsidP="003B59D7">
            <w:pPr>
              <w:pStyle w:val="TableCell"/>
              <w:spacing w:after="60"/>
              <w:rPr>
                <w:rFonts w:cs="Arial"/>
                <w:sz w:val="18"/>
                <w:szCs w:val="18"/>
              </w:rPr>
            </w:pPr>
            <w:r w:rsidRPr="002108FA">
              <w:rPr>
                <w:rFonts w:cs="Arial"/>
                <w:sz w:val="18"/>
                <w:szCs w:val="18"/>
              </w:rPr>
              <w:t xml:space="preserve">Economic </w:t>
            </w:r>
            <w:r w:rsidR="00AC1B92" w:rsidRPr="002108FA">
              <w:rPr>
                <w:rFonts w:cs="Arial"/>
                <w:sz w:val="18"/>
                <w:szCs w:val="18"/>
              </w:rPr>
              <w:t>o</w:t>
            </w:r>
            <w:r w:rsidRPr="002108FA">
              <w:rPr>
                <w:rFonts w:cs="Arial"/>
                <w:sz w:val="18"/>
                <w:szCs w:val="18"/>
              </w:rPr>
              <w:t>perator</w:t>
            </w:r>
          </w:p>
        </w:tc>
        <w:tc>
          <w:tcPr>
            <w:tcW w:w="6660" w:type="dxa"/>
          </w:tcPr>
          <w:p w14:paraId="09721F5B" w14:textId="2DBE9A52" w:rsidR="00810B5C" w:rsidRPr="00F53A0E" w:rsidRDefault="00810B5C" w:rsidP="00810B5C">
            <w:pPr>
              <w:pStyle w:val="TableCell"/>
              <w:spacing w:after="60"/>
              <w:rPr>
                <w:rFonts w:cs="Arial"/>
                <w:snapToGrid w:val="0"/>
                <w:sz w:val="18"/>
                <w:szCs w:val="18"/>
              </w:rPr>
            </w:pPr>
            <w:r w:rsidRPr="00AC44B1">
              <w:rPr>
                <w:rFonts w:cs="Arial"/>
                <w:iCs/>
                <w:snapToGrid w:val="0"/>
                <w:sz w:val="18"/>
                <w:szCs w:val="18"/>
              </w:rPr>
              <w:t>A</w:t>
            </w:r>
            <w:r w:rsidR="00EC785D" w:rsidRPr="00AC44B1">
              <w:rPr>
                <w:rFonts w:cs="Arial"/>
                <w:iCs/>
                <w:snapToGrid w:val="0"/>
                <w:sz w:val="18"/>
                <w:szCs w:val="18"/>
              </w:rPr>
              <w:t xml:space="preserve"> person who, in the course of his or her business, is involved in activities covered by the customs legislation</w:t>
            </w:r>
            <w:r w:rsidR="00DA37D8" w:rsidRPr="00F53A0E">
              <w:rPr>
                <w:rFonts w:cs="Arial"/>
                <w:snapToGrid w:val="0"/>
                <w:sz w:val="18"/>
                <w:szCs w:val="18"/>
              </w:rPr>
              <w:t xml:space="preserve"> (Art. 5(5) UCC)</w:t>
            </w:r>
            <w:r w:rsidR="00EC785D" w:rsidRPr="00F53A0E">
              <w:rPr>
                <w:rFonts w:cs="Arial"/>
                <w:snapToGrid w:val="0"/>
                <w:sz w:val="18"/>
                <w:szCs w:val="18"/>
              </w:rPr>
              <w:t>.</w:t>
            </w:r>
          </w:p>
          <w:p w14:paraId="16EFF8EF" w14:textId="4863FB93" w:rsidR="003B59D7" w:rsidRPr="00F53A0E" w:rsidRDefault="00810B5C" w:rsidP="00810B5C">
            <w:pPr>
              <w:pStyle w:val="TableCell"/>
              <w:spacing w:after="60"/>
              <w:rPr>
                <w:rFonts w:cs="Arial"/>
                <w:sz w:val="18"/>
                <w:szCs w:val="18"/>
              </w:rPr>
            </w:pPr>
            <w:r w:rsidRPr="00F53A0E">
              <w:rPr>
                <w:rFonts w:cs="Arial"/>
                <w:snapToGrid w:val="0"/>
                <w:sz w:val="18"/>
                <w:szCs w:val="18"/>
              </w:rPr>
              <w:t>In this context, also called “trader”.</w:t>
            </w:r>
          </w:p>
        </w:tc>
      </w:tr>
      <w:tr w:rsidR="003B59D7" w:rsidRPr="002108FA" w14:paraId="13209CAD" w14:textId="77777777" w:rsidTr="003B59D7">
        <w:trPr>
          <w:jc w:val="center"/>
        </w:trPr>
        <w:tc>
          <w:tcPr>
            <w:tcW w:w="2520" w:type="dxa"/>
          </w:tcPr>
          <w:p w14:paraId="41822053" w14:textId="661B38D0" w:rsidR="003B59D7" w:rsidRPr="002108FA" w:rsidRDefault="003B59D7" w:rsidP="003B59D7">
            <w:pPr>
              <w:pStyle w:val="TableCell"/>
              <w:spacing w:after="60"/>
              <w:rPr>
                <w:rFonts w:cs="Arial"/>
                <w:sz w:val="18"/>
                <w:szCs w:val="18"/>
              </w:rPr>
            </w:pPr>
            <w:r w:rsidRPr="002108FA">
              <w:rPr>
                <w:rFonts w:cs="Arial"/>
                <w:sz w:val="18"/>
                <w:szCs w:val="18"/>
              </w:rPr>
              <w:t>Applicant</w:t>
            </w:r>
          </w:p>
        </w:tc>
        <w:tc>
          <w:tcPr>
            <w:tcW w:w="6660" w:type="dxa"/>
          </w:tcPr>
          <w:p w14:paraId="381EDD67" w14:textId="53A87D99" w:rsidR="003B59D7" w:rsidRPr="00F53A0E" w:rsidRDefault="003B59D7" w:rsidP="003B59D7">
            <w:pPr>
              <w:pStyle w:val="TableCell"/>
              <w:spacing w:after="60"/>
              <w:rPr>
                <w:rFonts w:cs="Arial"/>
                <w:sz w:val="18"/>
                <w:szCs w:val="18"/>
              </w:rPr>
            </w:pPr>
            <w:r w:rsidRPr="00F53A0E">
              <w:rPr>
                <w:rFonts w:cs="Arial"/>
                <w:sz w:val="18"/>
                <w:szCs w:val="18"/>
              </w:rPr>
              <w:t>A person who applies to the customs authorities for a decision</w:t>
            </w:r>
            <w:r w:rsidR="005F7538">
              <w:rPr>
                <w:rFonts w:cs="Arial"/>
                <w:sz w:val="18"/>
                <w:szCs w:val="18"/>
              </w:rPr>
              <w:t xml:space="preserve"> (BPMs)</w:t>
            </w:r>
            <w:r w:rsidRPr="00F53A0E">
              <w:rPr>
                <w:rFonts w:cs="Arial"/>
                <w:sz w:val="18"/>
                <w:szCs w:val="18"/>
              </w:rPr>
              <w:t>.</w:t>
            </w:r>
          </w:p>
        </w:tc>
      </w:tr>
      <w:tr w:rsidR="003B59D7" w:rsidRPr="002108FA" w14:paraId="16E93314" w14:textId="77777777" w:rsidTr="003B59D7">
        <w:trPr>
          <w:jc w:val="center"/>
        </w:trPr>
        <w:tc>
          <w:tcPr>
            <w:tcW w:w="2520" w:type="dxa"/>
            <w:vAlign w:val="center"/>
          </w:tcPr>
          <w:p w14:paraId="65274DAC" w14:textId="2A42F88F" w:rsidR="003B59D7" w:rsidRPr="002108FA" w:rsidRDefault="003B59D7" w:rsidP="003B59D7">
            <w:pPr>
              <w:spacing w:before="60" w:after="60"/>
              <w:jc w:val="left"/>
              <w:rPr>
                <w:rFonts w:cs="Arial"/>
                <w:snapToGrid w:val="0"/>
                <w:sz w:val="18"/>
                <w:szCs w:val="18"/>
              </w:rPr>
            </w:pPr>
            <w:r w:rsidRPr="002108FA">
              <w:rPr>
                <w:rFonts w:cs="Arial"/>
                <w:snapToGrid w:val="0"/>
                <w:sz w:val="18"/>
                <w:szCs w:val="18"/>
              </w:rPr>
              <w:t>Holder</w:t>
            </w:r>
          </w:p>
        </w:tc>
        <w:tc>
          <w:tcPr>
            <w:tcW w:w="6660" w:type="dxa"/>
            <w:vAlign w:val="center"/>
          </w:tcPr>
          <w:p w14:paraId="2FDB9B7F" w14:textId="20D9C2BE" w:rsidR="003B59D7" w:rsidRPr="00F53A0E" w:rsidRDefault="00EC785D" w:rsidP="00EC785D">
            <w:pPr>
              <w:spacing w:before="60" w:after="60"/>
              <w:jc w:val="left"/>
              <w:rPr>
                <w:rFonts w:cs="Arial"/>
                <w:snapToGrid w:val="0"/>
                <w:sz w:val="18"/>
                <w:szCs w:val="18"/>
              </w:rPr>
            </w:pPr>
            <w:r w:rsidRPr="00AC44B1">
              <w:rPr>
                <w:rFonts w:cs="Arial"/>
                <w:iCs/>
                <w:snapToGrid w:val="0"/>
                <w:sz w:val="18"/>
                <w:szCs w:val="18"/>
              </w:rPr>
              <w:t>A person to whom a decision is issued. This can also refer to the representative of the holder</w:t>
            </w:r>
            <w:r w:rsidR="005F7538">
              <w:rPr>
                <w:rFonts w:cs="Arial"/>
                <w:iCs/>
                <w:snapToGrid w:val="0"/>
                <w:sz w:val="18"/>
                <w:szCs w:val="18"/>
              </w:rPr>
              <w:t xml:space="preserve"> </w:t>
            </w:r>
            <w:r w:rsidR="005F7538">
              <w:rPr>
                <w:rFonts w:cs="Arial"/>
                <w:sz w:val="18"/>
                <w:szCs w:val="18"/>
              </w:rPr>
              <w:t>(BPMs)</w:t>
            </w:r>
            <w:r w:rsidR="00DA37D8" w:rsidRPr="00F53A0E">
              <w:rPr>
                <w:rFonts w:cs="Arial"/>
                <w:snapToGrid w:val="0"/>
                <w:sz w:val="18"/>
                <w:szCs w:val="18"/>
              </w:rPr>
              <w:t>.</w:t>
            </w:r>
          </w:p>
        </w:tc>
      </w:tr>
      <w:tr w:rsidR="00DA37D8" w:rsidRPr="002108FA" w14:paraId="463A4171" w14:textId="77777777" w:rsidTr="003B59D7">
        <w:trPr>
          <w:jc w:val="center"/>
        </w:trPr>
        <w:tc>
          <w:tcPr>
            <w:tcW w:w="2520" w:type="dxa"/>
            <w:vAlign w:val="center"/>
          </w:tcPr>
          <w:p w14:paraId="7AFA6D1D" w14:textId="75DF1D55" w:rsidR="00DA37D8" w:rsidRPr="002108FA" w:rsidRDefault="00DA37D8" w:rsidP="003B59D7">
            <w:pPr>
              <w:spacing w:before="60" w:after="60"/>
              <w:jc w:val="left"/>
              <w:rPr>
                <w:rFonts w:cs="Arial"/>
                <w:snapToGrid w:val="0"/>
                <w:sz w:val="18"/>
                <w:szCs w:val="18"/>
              </w:rPr>
            </w:pPr>
            <w:r w:rsidRPr="002108FA">
              <w:rPr>
                <w:rFonts w:cs="Arial"/>
                <w:snapToGrid w:val="0"/>
                <w:sz w:val="18"/>
                <w:szCs w:val="18"/>
              </w:rPr>
              <w:t>Customs Authority</w:t>
            </w:r>
          </w:p>
        </w:tc>
        <w:tc>
          <w:tcPr>
            <w:tcW w:w="6660" w:type="dxa"/>
            <w:vAlign w:val="center"/>
          </w:tcPr>
          <w:p w14:paraId="7438E872" w14:textId="086B6BC9" w:rsidR="00DA37D8" w:rsidRPr="00F53A0E" w:rsidRDefault="00F53A0E" w:rsidP="003B59D7">
            <w:pPr>
              <w:spacing w:before="60" w:after="60"/>
              <w:jc w:val="left"/>
              <w:rPr>
                <w:rFonts w:cs="Arial"/>
                <w:snapToGrid w:val="0"/>
                <w:sz w:val="18"/>
                <w:szCs w:val="18"/>
              </w:rPr>
            </w:pPr>
            <w:r w:rsidRPr="00F53A0E">
              <w:rPr>
                <w:rFonts w:cs="Arial"/>
                <w:snapToGrid w:val="0"/>
                <w:sz w:val="18"/>
                <w:szCs w:val="18"/>
              </w:rPr>
              <w:t>Customs administrations</w:t>
            </w:r>
            <w:r w:rsidR="00DA37D8" w:rsidRPr="00F53A0E">
              <w:rPr>
                <w:rFonts w:cs="Arial"/>
                <w:snapToGrid w:val="0"/>
                <w:sz w:val="18"/>
                <w:szCs w:val="18"/>
              </w:rPr>
              <w:t xml:space="preserve"> </w:t>
            </w:r>
            <w:r w:rsidR="00DA37D8" w:rsidRPr="00AC44B1">
              <w:rPr>
                <w:rFonts w:cs="Arial"/>
                <w:snapToGrid w:val="0"/>
                <w:sz w:val="18"/>
                <w:szCs w:val="18"/>
              </w:rPr>
              <w:t xml:space="preserve">of the </w:t>
            </w:r>
            <w:r>
              <w:rPr>
                <w:rFonts w:cs="Arial"/>
                <w:snapToGrid w:val="0"/>
                <w:sz w:val="18"/>
                <w:szCs w:val="18"/>
              </w:rPr>
              <w:t>m</w:t>
            </w:r>
            <w:r w:rsidR="00DA37D8" w:rsidRPr="00AC44B1">
              <w:rPr>
                <w:rFonts w:cs="Arial"/>
                <w:snapToGrid w:val="0"/>
                <w:sz w:val="18"/>
                <w:szCs w:val="18"/>
              </w:rPr>
              <w:t xml:space="preserve">ember </w:t>
            </w:r>
            <w:r>
              <w:rPr>
                <w:rFonts w:cs="Arial"/>
                <w:snapToGrid w:val="0"/>
                <w:sz w:val="18"/>
                <w:szCs w:val="18"/>
              </w:rPr>
              <w:t>s</w:t>
            </w:r>
            <w:r w:rsidR="00DA37D8" w:rsidRPr="00AC44B1">
              <w:rPr>
                <w:rFonts w:cs="Arial"/>
                <w:snapToGrid w:val="0"/>
                <w:sz w:val="18"/>
                <w:szCs w:val="18"/>
              </w:rPr>
              <w:t>tates responsible for applying the customs</w:t>
            </w:r>
            <w:r w:rsidR="00DA37D8" w:rsidRPr="00F53A0E">
              <w:rPr>
                <w:rFonts w:cs="Arial"/>
                <w:snapToGrid w:val="0"/>
                <w:sz w:val="18"/>
                <w:szCs w:val="18"/>
              </w:rPr>
              <w:t xml:space="preserve"> </w:t>
            </w:r>
            <w:r w:rsidR="00DA37D8" w:rsidRPr="00AC44B1">
              <w:rPr>
                <w:rFonts w:cs="Arial"/>
                <w:snapToGrid w:val="0"/>
                <w:sz w:val="18"/>
                <w:szCs w:val="18"/>
              </w:rPr>
              <w:t>legislation and any other authorities empowered under national law to apply certain customs legislation.</w:t>
            </w:r>
            <w:r w:rsidR="00F91891" w:rsidRPr="00F53A0E">
              <w:rPr>
                <w:rFonts w:cs="Arial"/>
                <w:snapToGrid w:val="0"/>
                <w:sz w:val="18"/>
                <w:szCs w:val="18"/>
              </w:rPr>
              <w:t xml:space="preserve"> (Art. 5(1) UCC)</w:t>
            </w:r>
            <w:r w:rsidR="008456C6">
              <w:rPr>
                <w:rFonts w:cs="Arial"/>
                <w:snapToGrid w:val="0"/>
                <w:sz w:val="18"/>
                <w:szCs w:val="18"/>
              </w:rPr>
              <w:t>.</w:t>
            </w:r>
          </w:p>
        </w:tc>
      </w:tr>
      <w:tr w:rsidR="00810B5C" w:rsidRPr="002108FA" w14:paraId="4C4D8956" w14:textId="77777777" w:rsidTr="003B59D7">
        <w:trPr>
          <w:jc w:val="center"/>
        </w:trPr>
        <w:tc>
          <w:tcPr>
            <w:tcW w:w="2520" w:type="dxa"/>
            <w:vAlign w:val="center"/>
          </w:tcPr>
          <w:p w14:paraId="29048778" w14:textId="4134DEBC" w:rsidR="00810B5C" w:rsidRPr="00810B5C" w:rsidRDefault="00810B5C" w:rsidP="003B59D7">
            <w:pPr>
              <w:pStyle w:val="TableCell"/>
              <w:spacing w:after="60"/>
              <w:rPr>
                <w:rFonts w:cs="Arial"/>
                <w:sz w:val="18"/>
                <w:szCs w:val="18"/>
              </w:rPr>
            </w:pPr>
            <w:r w:rsidRPr="00810B5C">
              <w:rPr>
                <w:rFonts w:cs="Arial"/>
                <w:snapToGrid w:val="0"/>
                <w:sz w:val="18"/>
                <w:szCs w:val="18"/>
              </w:rPr>
              <w:t>Decision-taking customs authority</w:t>
            </w:r>
          </w:p>
        </w:tc>
        <w:tc>
          <w:tcPr>
            <w:tcW w:w="6660" w:type="dxa"/>
            <w:vAlign w:val="center"/>
          </w:tcPr>
          <w:p w14:paraId="2DCDD412" w14:textId="4B2ABA2B" w:rsidR="00810B5C" w:rsidRPr="00F53A0E" w:rsidRDefault="00810B5C" w:rsidP="003B59D7">
            <w:pPr>
              <w:pStyle w:val="TableCell"/>
              <w:keepNext/>
              <w:spacing w:after="60"/>
              <w:rPr>
                <w:rFonts w:cs="Arial"/>
                <w:bCs w:val="0"/>
                <w:snapToGrid w:val="0"/>
                <w:sz w:val="18"/>
                <w:szCs w:val="18"/>
              </w:rPr>
            </w:pPr>
            <w:r w:rsidRPr="00F53A0E">
              <w:rPr>
                <w:rFonts w:cs="Arial"/>
                <w:snapToGrid w:val="0"/>
                <w:sz w:val="18"/>
                <w:szCs w:val="18"/>
              </w:rPr>
              <w:t>Customs authority competent for 1) taking the decision and 2) managing the decision.</w:t>
            </w:r>
          </w:p>
        </w:tc>
      </w:tr>
      <w:tr w:rsidR="003B59D7" w:rsidRPr="002108FA" w14:paraId="008AF523" w14:textId="77777777" w:rsidTr="003B59D7">
        <w:trPr>
          <w:jc w:val="center"/>
        </w:trPr>
        <w:tc>
          <w:tcPr>
            <w:tcW w:w="2520" w:type="dxa"/>
            <w:vAlign w:val="center"/>
          </w:tcPr>
          <w:p w14:paraId="6D416F21" w14:textId="336F28FF" w:rsidR="003B59D7" w:rsidRPr="00810B5C" w:rsidRDefault="003B59D7" w:rsidP="003B59D7">
            <w:pPr>
              <w:pStyle w:val="TableCell"/>
              <w:spacing w:after="60"/>
              <w:rPr>
                <w:rFonts w:cs="Arial"/>
                <w:sz w:val="18"/>
                <w:szCs w:val="18"/>
              </w:rPr>
            </w:pPr>
            <w:r w:rsidRPr="00810B5C">
              <w:rPr>
                <w:rFonts w:cs="Arial"/>
                <w:sz w:val="18"/>
                <w:szCs w:val="18"/>
              </w:rPr>
              <w:t xml:space="preserve">Involved </w:t>
            </w:r>
            <w:r w:rsidR="00AC1B92" w:rsidRPr="00810B5C">
              <w:rPr>
                <w:rFonts w:cs="Arial"/>
                <w:sz w:val="18"/>
                <w:szCs w:val="18"/>
              </w:rPr>
              <w:t>m</w:t>
            </w:r>
            <w:r w:rsidRPr="00810B5C">
              <w:rPr>
                <w:rFonts w:cs="Arial"/>
                <w:sz w:val="18"/>
                <w:szCs w:val="18"/>
              </w:rPr>
              <w:t xml:space="preserve">ember </w:t>
            </w:r>
            <w:r w:rsidR="00AC1B92" w:rsidRPr="00810B5C">
              <w:rPr>
                <w:rFonts w:cs="Arial"/>
                <w:sz w:val="18"/>
                <w:szCs w:val="18"/>
              </w:rPr>
              <w:t>s</w:t>
            </w:r>
            <w:r w:rsidRPr="00810B5C">
              <w:rPr>
                <w:rFonts w:cs="Arial"/>
                <w:sz w:val="18"/>
                <w:szCs w:val="18"/>
              </w:rPr>
              <w:t>tate</w:t>
            </w:r>
          </w:p>
        </w:tc>
        <w:tc>
          <w:tcPr>
            <w:tcW w:w="6660" w:type="dxa"/>
            <w:vAlign w:val="center"/>
          </w:tcPr>
          <w:p w14:paraId="025135D6" w14:textId="66A56E7F" w:rsidR="003B59D7" w:rsidRPr="00AC44B1" w:rsidRDefault="00D33C62" w:rsidP="003B59D7">
            <w:pPr>
              <w:pStyle w:val="TableCell"/>
              <w:keepNext/>
              <w:spacing w:after="60"/>
              <w:rPr>
                <w:rFonts w:cs="Arial"/>
                <w:sz w:val="18"/>
                <w:szCs w:val="18"/>
              </w:rPr>
            </w:pPr>
            <w:r w:rsidRPr="00AC44B1">
              <w:rPr>
                <w:rFonts w:cs="Arial"/>
                <w:bCs w:val="0"/>
                <w:snapToGrid w:val="0"/>
                <w:sz w:val="18"/>
                <w:szCs w:val="18"/>
              </w:rPr>
              <w:t>Any Member State directly affected by a decision</w:t>
            </w:r>
            <w:r w:rsidR="003B59D7" w:rsidRPr="00AC44B1">
              <w:rPr>
                <w:rFonts w:cs="Arial"/>
                <w:sz w:val="18"/>
                <w:szCs w:val="18"/>
              </w:rPr>
              <w:t>.</w:t>
            </w:r>
          </w:p>
        </w:tc>
      </w:tr>
      <w:tr w:rsidR="003B59D7" w:rsidRPr="002108FA" w14:paraId="4962EB5D" w14:textId="77777777" w:rsidTr="003B59D7">
        <w:trPr>
          <w:jc w:val="center"/>
        </w:trPr>
        <w:tc>
          <w:tcPr>
            <w:tcW w:w="2520" w:type="dxa"/>
            <w:vAlign w:val="center"/>
          </w:tcPr>
          <w:p w14:paraId="6DEB0180" w14:textId="6B74D97F" w:rsidR="003B59D7" w:rsidRPr="002108FA" w:rsidRDefault="003B59D7" w:rsidP="003B59D7">
            <w:pPr>
              <w:pStyle w:val="TableCell"/>
              <w:spacing w:after="60"/>
              <w:rPr>
                <w:rFonts w:cs="Arial"/>
                <w:sz w:val="18"/>
                <w:szCs w:val="18"/>
              </w:rPr>
            </w:pPr>
            <w:r w:rsidRPr="002108FA">
              <w:rPr>
                <w:rFonts w:cs="Arial"/>
                <w:sz w:val="18"/>
                <w:szCs w:val="18"/>
              </w:rPr>
              <w:t xml:space="preserve">Consulted </w:t>
            </w:r>
            <w:r w:rsidR="00A54DF9" w:rsidRPr="002108FA">
              <w:rPr>
                <w:rFonts w:cs="Arial"/>
                <w:sz w:val="18"/>
                <w:szCs w:val="18"/>
              </w:rPr>
              <w:t>c</w:t>
            </w:r>
            <w:r w:rsidRPr="002108FA">
              <w:rPr>
                <w:rFonts w:cs="Arial"/>
                <w:sz w:val="18"/>
                <w:szCs w:val="18"/>
              </w:rPr>
              <w:t xml:space="preserve">ustoms </w:t>
            </w:r>
            <w:r w:rsidR="00A54DF9" w:rsidRPr="002108FA">
              <w:rPr>
                <w:rFonts w:cs="Arial"/>
                <w:sz w:val="18"/>
                <w:szCs w:val="18"/>
              </w:rPr>
              <w:t>a</w:t>
            </w:r>
            <w:r w:rsidRPr="002108FA">
              <w:rPr>
                <w:rFonts w:cs="Arial"/>
                <w:sz w:val="18"/>
                <w:szCs w:val="18"/>
              </w:rPr>
              <w:t>uthority</w:t>
            </w:r>
          </w:p>
        </w:tc>
        <w:tc>
          <w:tcPr>
            <w:tcW w:w="6660" w:type="dxa"/>
            <w:vAlign w:val="center"/>
          </w:tcPr>
          <w:p w14:paraId="6BA58EC4" w14:textId="7F6B6ACA" w:rsidR="003B59D7" w:rsidRPr="00F53A0E" w:rsidRDefault="00D33C62" w:rsidP="00D33C62">
            <w:pPr>
              <w:pStyle w:val="TableCell"/>
              <w:keepNext/>
              <w:spacing w:after="60"/>
              <w:rPr>
                <w:rFonts w:cs="Arial"/>
                <w:sz w:val="18"/>
                <w:szCs w:val="18"/>
              </w:rPr>
            </w:pPr>
            <w:r w:rsidRPr="00AC44B1">
              <w:rPr>
                <w:rFonts w:cs="Arial"/>
                <w:bCs w:val="0"/>
                <w:snapToGrid w:val="0"/>
                <w:sz w:val="18"/>
                <w:szCs w:val="18"/>
              </w:rPr>
              <w:t>Any Member State that has been requested by</w:t>
            </w:r>
            <w:r w:rsidRPr="00F53A0E">
              <w:rPr>
                <w:rFonts w:cs="Arial"/>
                <w:bCs w:val="0"/>
                <w:snapToGrid w:val="0"/>
                <w:sz w:val="18"/>
                <w:szCs w:val="18"/>
              </w:rPr>
              <w:t xml:space="preserve"> </w:t>
            </w:r>
            <w:r w:rsidRPr="00AC44B1">
              <w:rPr>
                <w:rFonts w:cs="Arial"/>
                <w:bCs w:val="0"/>
                <w:snapToGrid w:val="0"/>
                <w:sz w:val="18"/>
                <w:szCs w:val="18"/>
              </w:rPr>
              <w:t>the DTCA to contribute to a decision process regarding an application or an existing decision through</w:t>
            </w:r>
            <w:r w:rsidRPr="00F53A0E">
              <w:rPr>
                <w:rFonts w:cs="Arial"/>
                <w:bCs w:val="0"/>
                <w:snapToGrid w:val="0"/>
                <w:sz w:val="18"/>
                <w:szCs w:val="18"/>
              </w:rPr>
              <w:t xml:space="preserve"> </w:t>
            </w:r>
            <w:r w:rsidRPr="00AC44B1">
              <w:rPr>
                <w:rFonts w:cs="Arial"/>
                <w:bCs w:val="0"/>
                <w:snapToGrid w:val="0"/>
                <w:sz w:val="18"/>
                <w:szCs w:val="18"/>
              </w:rPr>
              <w:t>the provision of information, examination</w:t>
            </w:r>
            <w:r w:rsidRPr="00F53A0E">
              <w:rPr>
                <w:rFonts w:cs="Arial"/>
                <w:bCs w:val="0"/>
                <w:snapToGrid w:val="0"/>
                <w:sz w:val="18"/>
                <w:szCs w:val="18"/>
              </w:rPr>
              <w:t xml:space="preserve"> of criteria or any other means</w:t>
            </w:r>
            <w:r w:rsidR="003B59D7" w:rsidRPr="00F53A0E">
              <w:rPr>
                <w:rFonts w:cs="Arial"/>
                <w:sz w:val="18"/>
                <w:szCs w:val="18"/>
              </w:rPr>
              <w:t>.</w:t>
            </w:r>
          </w:p>
        </w:tc>
      </w:tr>
      <w:tr w:rsidR="00E76028" w:rsidRPr="002108FA" w14:paraId="14828831" w14:textId="77777777" w:rsidTr="003B59D7">
        <w:trPr>
          <w:jc w:val="center"/>
        </w:trPr>
        <w:tc>
          <w:tcPr>
            <w:tcW w:w="2520" w:type="dxa"/>
            <w:vAlign w:val="center"/>
          </w:tcPr>
          <w:p w14:paraId="1E969F3F" w14:textId="6C853C62" w:rsidR="00E76028" w:rsidRPr="002108FA" w:rsidRDefault="009646A7" w:rsidP="003B59D7">
            <w:pPr>
              <w:pStyle w:val="TableCell"/>
              <w:spacing w:after="60"/>
              <w:rPr>
                <w:rFonts w:cs="Arial"/>
                <w:sz w:val="18"/>
                <w:szCs w:val="18"/>
              </w:rPr>
            </w:pPr>
            <w:r w:rsidRPr="002108FA">
              <w:rPr>
                <w:rFonts w:cs="Arial"/>
                <w:sz w:val="18"/>
                <w:szCs w:val="18"/>
              </w:rPr>
              <w:t>Single-MS decision</w:t>
            </w:r>
          </w:p>
        </w:tc>
        <w:tc>
          <w:tcPr>
            <w:tcW w:w="6660" w:type="dxa"/>
            <w:vAlign w:val="center"/>
          </w:tcPr>
          <w:p w14:paraId="1367E9D7" w14:textId="3A8BBE50" w:rsidR="00E76028" w:rsidRPr="00F53A0E" w:rsidRDefault="009646A7" w:rsidP="004208D1">
            <w:pPr>
              <w:pStyle w:val="TableCell"/>
              <w:keepNext/>
              <w:spacing w:after="60"/>
              <w:rPr>
                <w:rFonts w:cs="Arial"/>
                <w:sz w:val="18"/>
                <w:szCs w:val="18"/>
              </w:rPr>
            </w:pPr>
            <w:r w:rsidRPr="00F53A0E">
              <w:rPr>
                <w:rFonts w:cs="Arial"/>
                <w:sz w:val="18"/>
                <w:szCs w:val="18"/>
              </w:rPr>
              <w:t>Decision or authorisation that has impact in only one MS.</w:t>
            </w:r>
          </w:p>
        </w:tc>
      </w:tr>
      <w:tr w:rsidR="00E76028" w:rsidRPr="002108FA" w14:paraId="70AEB68E" w14:textId="77777777" w:rsidTr="003B59D7">
        <w:trPr>
          <w:jc w:val="center"/>
        </w:trPr>
        <w:tc>
          <w:tcPr>
            <w:tcW w:w="2520" w:type="dxa"/>
            <w:vAlign w:val="center"/>
          </w:tcPr>
          <w:p w14:paraId="0FECD604" w14:textId="1C83B908" w:rsidR="00E76028" w:rsidRPr="002108FA" w:rsidRDefault="009646A7" w:rsidP="003B59D7">
            <w:pPr>
              <w:pStyle w:val="TableCell"/>
              <w:spacing w:after="60"/>
              <w:rPr>
                <w:rFonts w:cs="Arial"/>
                <w:sz w:val="18"/>
                <w:szCs w:val="18"/>
              </w:rPr>
            </w:pPr>
            <w:r w:rsidRPr="002108FA">
              <w:rPr>
                <w:rFonts w:cs="Arial"/>
                <w:sz w:val="18"/>
                <w:szCs w:val="18"/>
              </w:rPr>
              <w:t>Multi-MS decision</w:t>
            </w:r>
          </w:p>
        </w:tc>
        <w:tc>
          <w:tcPr>
            <w:tcW w:w="6660" w:type="dxa"/>
            <w:vAlign w:val="center"/>
          </w:tcPr>
          <w:p w14:paraId="0BDB21DC" w14:textId="56ECB35A" w:rsidR="00E76028" w:rsidRPr="00F53A0E" w:rsidRDefault="009646A7" w:rsidP="00EC785D">
            <w:pPr>
              <w:pStyle w:val="TableCell"/>
              <w:keepNext/>
              <w:spacing w:after="60"/>
              <w:rPr>
                <w:rFonts w:cs="Arial"/>
                <w:sz w:val="18"/>
                <w:szCs w:val="18"/>
              </w:rPr>
            </w:pPr>
            <w:r w:rsidRPr="00F53A0E">
              <w:rPr>
                <w:rFonts w:cs="Arial"/>
                <w:sz w:val="18"/>
                <w:szCs w:val="18"/>
              </w:rPr>
              <w:t>Decision or authorisation that has impact in more than one MS</w:t>
            </w:r>
            <w:r w:rsidR="00DA37D8" w:rsidRPr="00F53A0E">
              <w:rPr>
                <w:rFonts w:cs="Arial"/>
                <w:sz w:val="18"/>
                <w:szCs w:val="18"/>
              </w:rPr>
              <w:t xml:space="preserve"> (Art. 10(1) IA)</w:t>
            </w:r>
            <w:r w:rsidR="00EC785D" w:rsidRPr="00F53A0E">
              <w:rPr>
                <w:rFonts w:cs="Arial"/>
                <w:sz w:val="18"/>
                <w:szCs w:val="18"/>
              </w:rPr>
              <w:t>.</w:t>
            </w:r>
          </w:p>
        </w:tc>
      </w:tr>
      <w:tr w:rsidR="007206AC" w:rsidRPr="002108FA" w14:paraId="72E6F23B" w14:textId="77777777" w:rsidTr="003B59D7">
        <w:trPr>
          <w:jc w:val="center"/>
        </w:trPr>
        <w:tc>
          <w:tcPr>
            <w:tcW w:w="2520" w:type="dxa"/>
            <w:vAlign w:val="center"/>
          </w:tcPr>
          <w:p w14:paraId="78B53585" w14:textId="6DE19715" w:rsidR="007206AC" w:rsidRPr="002108FA" w:rsidRDefault="007206AC" w:rsidP="003B59D7">
            <w:pPr>
              <w:pStyle w:val="TableCell"/>
              <w:spacing w:after="60"/>
              <w:rPr>
                <w:rFonts w:cs="Arial"/>
                <w:sz w:val="18"/>
                <w:szCs w:val="18"/>
              </w:rPr>
            </w:pPr>
            <w:r w:rsidRPr="002108FA">
              <w:rPr>
                <w:rFonts w:cs="Arial"/>
                <w:sz w:val="18"/>
                <w:szCs w:val="18"/>
              </w:rPr>
              <w:t>Time limit to take decision</w:t>
            </w:r>
          </w:p>
        </w:tc>
        <w:tc>
          <w:tcPr>
            <w:tcW w:w="6660" w:type="dxa"/>
            <w:vAlign w:val="center"/>
          </w:tcPr>
          <w:p w14:paraId="5AD3300B" w14:textId="390F689E" w:rsidR="007206AC" w:rsidRPr="00F53A0E" w:rsidRDefault="007206AC" w:rsidP="004208D1">
            <w:pPr>
              <w:pStyle w:val="TableCell"/>
              <w:keepNext/>
              <w:spacing w:after="60"/>
              <w:rPr>
                <w:rFonts w:cs="Arial"/>
                <w:sz w:val="18"/>
                <w:szCs w:val="18"/>
              </w:rPr>
            </w:pPr>
            <w:r w:rsidRPr="00F53A0E">
              <w:rPr>
                <w:rFonts w:cs="Arial"/>
                <w:sz w:val="18"/>
                <w:szCs w:val="18"/>
              </w:rPr>
              <w:t>Period of time during which the customs officer must decide to grant (or not) the authorisation for which the trader has applied.</w:t>
            </w:r>
          </w:p>
        </w:tc>
      </w:tr>
    </w:tbl>
    <w:p w14:paraId="361C4EE7" w14:textId="28A580A1" w:rsidR="004208D1" w:rsidRPr="002108FA" w:rsidRDefault="004208D1">
      <w:pPr>
        <w:pStyle w:val="Caption"/>
      </w:pPr>
      <w:bookmarkStart w:id="9" w:name="_Ref484090889"/>
      <w:r w:rsidRPr="002108FA">
        <w:t xml:space="preserve">Table </w:t>
      </w:r>
      <w:r w:rsidR="00FE1656">
        <w:rPr>
          <w:noProof/>
        </w:rPr>
        <w:fldChar w:fldCharType="begin"/>
      </w:r>
      <w:r w:rsidR="00FE1656">
        <w:rPr>
          <w:noProof/>
        </w:rPr>
        <w:instrText xml:space="preserve"> SEQ Table \* ARABIC </w:instrText>
      </w:r>
      <w:r w:rsidR="00FE1656">
        <w:rPr>
          <w:noProof/>
        </w:rPr>
        <w:fldChar w:fldCharType="separate"/>
      </w:r>
      <w:r w:rsidR="006D18FB">
        <w:rPr>
          <w:noProof/>
        </w:rPr>
        <w:t>1</w:t>
      </w:r>
      <w:r w:rsidR="00FE1656">
        <w:rPr>
          <w:noProof/>
        </w:rPr>
        <w:fldChar w:fldCharType="end"/>
      </w:r>
      <w:bookmarkEnd w:id="9"/>
      <w:r w:rsidRPr="002108FA">
        <w:t xml:space="preserve"> </w:t>
      </w:r>
      <w:bookmarkStart w:id="10" w:name="_Ref484090885"/>
      <w:r w:rsidRPr="002108FA">
        <w:t>- Definitions</w:t>
      </w:r>
      <w:bookmarkEnd w:id="10"/>
    </w:p>
    <w:p w14:paraId="71C3CE47" w14:textId="07470EFA" w:rsidR="008D6CAD" w:rsidRPr="002108FA" w:rsidRDefault="008D6CAD">
      <w:pPr>
        <w:pStyle w:val="Heading2"/>
      </w:pPr>
      <w:r w:rsidRPr="002108FA">
        <w:t>Stakeholders</w:t>
      </w:r>
    </w:p>
    <w:p w14:paraId="1DC3834D" w14:textId="19D1AE87" w:rsidR="003A5386" w:rsidRPr="002108FA" w:rsidRDefault="008D6CAD" w:rsidP="008D6CAD">
      <w:r w:rsidRPr="002108FA">
        <w:t xml:space="preserve">This section aims </w:t>
      </w:r>
      <w:r w:rsidR="004208D1" w:rsidRPr="002108FA">
        <w:t>at</w:t>
      </w:r>
      <w:r w:rsidRPr="002108FA">
        <w:t xml:space="preserve"> list</w:t>
      </w:r>
      <w:r w:rsidR="004208D1" w:rsidRPr="002108FA">
        <w:t>ing</w:t>
      </w:r>
      <w:r w:rsidRPr="002108FA">
        <w:t xml:space="preserve"> the different stakeholders </w:t>
      </w:r>
      <w:r w:rsidR="004208D1" w:rsidRPr="002108FA">
        <w:t xml:space="preserve">who </w:t>
      </w:r>
      <w:r w:rsidRPr="002108FA">
        <w:t xml:space="preserve">represent the final users of the </w:t>
      </w:r>
      <w:r w:rsidR="004208D1" w:rsidRPr="002108FA">
        <w:t xml:space="preserve">Customs Decisions </w:t>
      </w:r>
      <w:r w:rsidR="004259B7" w:rsidRPr="002108FA">
        <w:t>s</w:t>
      </w:r>
      <w:r w:rsidRPr="002108FA">
        <w:t>ystem.</w:t>
      </w:r>
    </w:p>
    <w:p w14:paraId="7FCD6FCD" w14:textId="75F88AE4" w:rsidR="008D6CAD" w:rsidRPr="002108FA" w:rsidRDefault="003A5386" w:rsidP="008D6CAD">
      <w:r w:rsidRPr="002108FA">
        <w:t xml:space="preserve">Users of the </w:t>
      </w:r>
      <w:r w:rsidRPr="002108FA">
        <w:rPr>
          <w:b/>
        </w:rPr>
        <w:t>Trader Portal</w:t>
      </w:r>
      <w:r w:rsidRPr="002108FA">
        <w:t>:</w:t>
      </w:r>
    </w:p>
    <w:p w14:paraId="0EC12D9A" w14:textId="49D5295C" w:rsidR="008D6CAD" w:rsidRPr="002108FA" w:rsidRDefault="008D6CAD" w:rsidP="008D6CAD">
      <w:pPr>
        <w:pStyle w:val="ListParagraph"/>
        <w:numPr>
          <w:ilvl w:val="0"/>
          <w:numId w:val="48"/>
        </w:numPr>
      </w:pPr>
      <w:r w:rsidRPr="002108FA">
        <w:t xml:space="preserve">The </w:t>
      </w:r>
      <w:r w:rsidRPr="002108FA">
        <w:rPr>
          <w:b/>
        </w:rPr>
        <w:t>trader</w:t>
      </w:r>
      <w:r w:rsidR="003A5386" w:rsidRPr="002108FA">
        <w:t xml:space="preserve">: as </w:t>
      </w:r>
      <w:r w:rsidRPr="002108FA">
        <w:t xml:space="preserve">described in </w:t>
      </w:r>
      <w:r w:rsidR="003A5386" w:rsidRPr="002108FA">
        <w:t>s</w:t>
      </w:r>
      <w:r w:rsidRPr="002108FA">
        <w:t xml:space="preserve">ection </w:t>
      </w:r>
      <w:r w:rsidRPr="00AC44B1">
        <w:fldChar w:fldCharType="begin"/>
      </w:r>
      <w:r w:rsidRPr="002108FA">
        <w:instrText xml:space="preserve"> REF _Ref483819466 \r \h </w:instrText>
      </w:r>
      <w:r w:rsidRPr="00AC44B1">
        <w:fldChar w:fldCharType="separate"/>
      </w:r>
      <w:r w:rsidR="006D18FB">
        <w:t>1.2</w:t>
      </w:r>
      <w:r w:rsidRPr="00AC44B1">
        <w:fldChar w:fldCharType="end"/>
      </w:r>
      <w:r w:rsidRPr="002108FA">
        <w:t>, the trader is also called the “economic operator”, the “applicant” or the “holder”</w:t>
      </w:r>
      <w:r w:rsidR="003A5386" w:rsidRPr="002108FA">
        <w:t xml:space="preserve"> in this context;</w:t>
      </w:r>
    </w:p>
    <w:p w14:paraId="3B6EBB02" w14:textId="0F688824" w:rsidR="006F2FA8" w:rsidRPr="002108FA" w:rsidRDefault="006F2FA8" w:rsidP="008D6CAD">
      <w:pPr>
        <w:pStyle w:val="ListParagraph"/>
        <w:numPr>
          <w:ilvl w:val="0"/>
          <w:numId w:val="48"/>
        </w:numPr>
      </w:pPr>
      <w:r w:rsidRPr="002108FA">
        <w:t xml:space="preserve">The </w:t>
      </w:r>
      <w:r w:rsidRPr="002108FA">
        <w:rPr>
          <w:b/>
        </w:rPr>
        <w:t>representative</w:t>
      </w:r>
      <w:r w:rsidR="003A5386" w:rsidRPr="002108FA">
        <w:t xml:space="preserve"> </w:t>
      </w:r>
      <w:r w:rsidRPr="002108FA">
        <w:t xml:space="preserve">is a person </w:t>
      </w:r>
      <w:r w:rsidR="003A5386" w:rsidRPr="002108FA">
        <w:t xml:space="preserve">who can </w:t>
      </w:r>
      <w:r w:rsidRPr="002108FA">
        <w:t>act on behalf</w:t>
      </w:r>
      <w:r w:rsidR="000448D3" w:rsidRPr="002108FA">
        <w:t xml:space="preserve"> of</w:t>
      </w:r>
      <w:r w:rsidRPr="002108FA">
        <w:t xml:space="preserve"> </w:t>
      </w:r>
      <w:r w:rsidR="003A5386" w:rsidRPr="002108FA">
        <w:t xml:space="preserve">a </w:t>
      </w:r>
      <w:r w:rsidRPr="002108FA">
        <w:t>trader</w:t>
      </w:r>
      <w:r w:rsidR="009646A7" w:rsidRPr="002108FA">
        <w:t xml:space="preserve">. </w:t>
      </w:r>
      <w:r w:rsidR="00BB1C70" w:rsidRPr="002108FA">
        <w:t xml:space="preserve">It is worth noting </w:t>
      </w:r>
      <w:r w:rsidR="00111D2C" w:rsidRPr="002108FA">
        <w:t>that indirect</w:t>
      </w:r>
      <w:r w:rsidR="009646A7" w:rsidRPr="002108FA">
        <w:t xml:space="preserve"> representation is </w:t>
      </w:r>
      <w:r w:rsidR="00BB1C70" w:rsidRPr="002108FA">
        <w:t xml:space="preserve">also </w:t>
      </w:r>
      <w:r w:rsidR="009646A7" w:rsidRPr="002108FA">
        <w:t>possible.</w:t>
      </w:r>
      <w:r w:rsidR="00686956" w:rsidRPr="002108FA">
        <w:t xml:space="preserve"> </w:t>
      </w:r>
      <w:r w:rsidR="0067658D" w:rsidRPr="002108FA">
        <w:t xml:space="preserve">In other words, a </w:t>
      </w:r>
      <w:r w:rsidR="00BB1C70" w:rsidRPr="002108FA">
        <w:t xml:space="preserve">representative can </w:t>
      </w:r>
      <w:r w:rsidR="00BB1C70" w:rsidRPr="002108FA">
        <w:rPr>
          <w:b/>
        </w:rPr>
        <w:t>mandate</w:t>
      </w:r>
      <w:r w:rsidR="00BB1C70" w:rsidRPr="002108FA">
        <w:t xml:space="preserve"> another user who will thus be empowered to act on his behalf.</w:t>
      </w:r>
    </w:p>
    <w:p w14:paraId="47BF346C" w14:textId="14D41039" w:rsidR="003A5386" w:rsidRPr="002108FA" w:rsidRDefault="003A5386" w:rsidP="00315103">
      <w:r w:rsidRPr="002108FA">
        <w:t>Us</w:t>
      </w:r>
      <w:r w:rsidR="004E7545" w:rsidRPr="002108FA">
        <w:t>ers of the</w:t>
      </w:r>
      <w:r w:rsidRPr="002108FA">
        <w:t xml:space="preserve"> </w:t>
      </w:r>
      <w:r w:rsidRPr="002108FA">
        <w:rPr>
          <w:b/>
        </w:rPr>
        <w:t>CDMS</w:t>
      </w:r>
      <w:r w:rsidRPr="002108FA">
        <w:t>:</w:t>
      </w:r>
    </w:p>
    <w:p w14:paraId="0553BB5B" w14:textId="2DE7ED37" w:rsidR="00F93B08" w:rsidRPr="002108FA" w:rsidRDefault="008D6CAD" w:rsidP="008D6CAD">
      <w:pPr>
        <w:pStyle w:val="ListParagraph"/>
        <w:numPr>
          <w:ilvl w:val="0"/>
          <w:numId w:val="48"/>
        </w:numPr>
      </w:pPr>
      <w:r w:rsidRPr="002108FA">
        <w:t xml:space="preserve">The </w:t>
      </w:r>
      <w:r w:rsidR="00F93B08" w:rsidRPr="002108FA">
        <w:rPr>
          <w:b/>
        </w:rPr>
        <w:t xml:space="preserve">customs officer of the </w:t>
      </w:r>
      <w:r w:rsidR="003A5386" w:rsidRPr="002108FA">
        <w:rPr>
          <w:b/>
        </w:rPr>
        <w:t>d</w:t>
      </w:r>
      <w:r w:rsidR="00F93B08" w:rsidRPr="002108FA">
        <w:rPr>
          <w:b/>
        </w:rPr>
        <w:t>ecision-</w:t>
      </w:r>
      <w:r w:rsidR="003A5386" w:rsidRPr="002108FA">
        <w:rPr>
          <w:b/>
        </w:rPr>
        <w:t>t</w:t>
      </w:r>
      <w:r w:rsidR="00F93B08" w:rsidRPr="002108FA">
        <w:rPr>
          <w:b/>
        </w:rPr>
        <w:t xml:space="preserve">aking </w:t>
      </w:r>
      <w:r w:rsidR="003A5386" w:rsidRPr="002108FA">
        <w:rPr>
          <w:b/>
        </w:rPr>
        <w:t>c</w:t>
      </w:r>
      <w:r w:rsidR="00F93B08" w:rsidRPr="002108FA">
        <w:rPr>
          <w:b/>
        </w:rPr>
        <w:t xml:space="preserve">ustoms </w:t>
      </w:r>
      <w:r w:rsidR="003A5386" w:rsidRPr="002108FA">
        <w:rPr>
          <w:b/>
        </w:rPr>
        <w:t>a</w:t>
      </w:r>
      <w:r w:rsidR="00F93B08" w:rsidRPr="002108FA">
        <w:rPr>
          <w:b/>
        </w:rPr>
        <w:t>uthority</w:t>
      </w:r>
      <w:r w:rsidR="003A5386" w:rsidRPr="002108FA">
        <w:rPr>
          <w:b/>
        </w:rPr>
        <w:t xml:space="preserve"> (DTCA)</w:t>
      </w:r>
      <w:r w:rsidR="00F93B08" w:rsidRPr="002108FA">
        <w:t xml:space="preserve"> is the customs officer in charge to:</w:t>
      </w:r>
    </w:p>
    <w:p w14:paraId="0A96D579" w14:textId="2B3ABAFF" w:rsidR="00F93B08" w:rsidRPr="002108FA" w:rsidRDefault="00F93B08" w:rsidP="00F93B08">
      <w:pPr>
        <w:pStyle w:val="ListParagraph"/>
        <w:numPr>
          <w:ilvl w:val="1"/>
          <w:numId w:val="48"/>
        </w:numPr>
      </w:pPr>
      <w:r w:rsidRPr="002108FA">
        <w:t xml:space="preserve">Accept (or not) the applications that have been submitted to </w:t>
      </w:r>
      <w:r w:rsidR="00416421" w:rsidRPr="002108FA">
        <w:t xml:space="preserve">his </w:t>
      </w:r>
      <w:r w:rsidR="003A5386" w:rsidRPr="002108FA">
        <w:t>c</w:t>
      </w:r>
      <w:r w:rsidR="00416421" w:rsidRPr="002108FA">
        <w:t xml:space="preserve">ustoms </w:t>
      </w:r>
      <w:r w:rsidR="003A5386" w:rsidRPr="002108FA">
        <w:t>office</w:t>
      </w:r>
      <w:r w:rsidRPr="002108FA">
        <w:t>;</w:t>
      </w:r>
    </w:p>
    <w:p w14:paraId="3189CE6E" w14:textId="2299BE15" w:rsidR="008D6CAD" w:rsidRPr="002108FA" w:rsidRDefault="00F93B08" w:rsidP="00F93B08">
      <w:pPr>
        <w:pStyle w:val="ListParagraph"/>
        <w:numPr>
          <w:ilvl w:val="1"/>
          <w:numId w:val="48"/>
        </w:numPr>
      </w:pPr>
      <w:r w:rsidRPr="002108FA">
        <w:t xml:space="preserve">Take the decision to grant (or not) the authorisations that have been submitted to </w:t>
      </w:r>
      <w:r w:rsidR="00416421" w:rsidRPr="002108FA">
        <w:t xml:space="preserve">his </w:t>
      </w:r>
      <w:r w:rsidR="003A5386" w:rsidRPr="002108FA">
        <w:t>c</w:t>
      </w:r>
      <w:r w:rsidR="00416421" w:rsidRPr="002108FA">
        <w:t xml:space="preserve">ustoms </w:t>
      </w:r>
      <w:r w:rsidR="003A5386" w:rsidRPr="002108FA">
        <w:t>office</w:t>
      </w:r>
      <w:r w:rsidRPr="002108FA">
        <w:t>;</w:t>
      </w:r>
    </w:p>
    <w:p w14:paraId="3FCB9B93" w14:textId="7F1DED30" w:rsidR="00F93B08" w:rsidRPr="002108FA" w:rsidRDefault="00F93B08" w:rsidP="00F93B08">
      <w:pPr>
        <w:pStyle w:val="ListParagraph"/>
        <w:numPr>
          <w:ilvl w:val="1"/>
          <w:numId w:val="48"/>
        </w:numPr>
      </w:pPr>
      <w:r w:rsidRPr="002108FA">
        <w:t xml:space="preserve">Manage the </w:t>
      </w:r>
      <w:r w:rsidR="003A5386" w:rsidRPr="002108FA">
        <w:t xml:space="preserve">granted </w:t>
      </w:r>
      <w:r w:rsidRPr="002108FA">
        <w:t>authorisations.</w:t>
      </w:r>
    </w:p>
    <w:p w14:paraId="1AC5E800" w14:textId="3B6154FD" w:rsidR="00F93B08" w:rsidRPr="002108FA" w:rsidRDefault="00F93B08" w:rsidP="008D6CAD">
      <w:pPr>
        <w:pStyle w:val="ListParagraph"/>
        <w:numPr>
          <w:ilvl w:val="0"/>
          <w:numId w:val="48"/>
        </w:numPr>
      </w:pPr>
      <w:r w:rsidRPr="002108FA">
        <w:t xml:space="preserve">The </w:t>
      </w:r>
      <w:r w:rsidRPr="002108FA">
        <w:rPr>
          <w:b/>
        </w:rPr>
        <w:t>customs officer of a consulted customs authority</w:t>
      </w:r>
      <w:r w:rsidRPr="002108FA">
        <w:t xml:space="preserve"> is the custo</w:t>
      </w:r>
      <w:r w:rsidR="00706413" w:rsidRPr="002108FA">
        <w:t xml:space="preserve">ms officer of </w:t>
      </w:r>
      <w:r w:rsidR="003A5386" w:rsidRPr="002108FA">
        <w:t>a consulted customs authority, in charge of providing feedback upon a consultation request</w:t>
      </w:r>
      <w:r w:rsidR="00706413" w:rsidRPr="002108FA">
        <w:t>.</w:t>
      </w:r>
    </w:p>
    <w:p w14:paraId="27C8D9ED" w14:textId="52F65A4E" w:rsidR="00706413" w:rsidRPr="002108FA" w:rsidRDefault="003A5386" w:rsidP="00706413">
      <w:pPr>
        <w:pStyle w:val="ListParagraph"/>
        <w:numPr>
          <w:ilvl w:val="0"/>
          <w:numId w:val="48"/>
        </w:numPr>
      </w:pPr>
      <w:r w:rsidRPr="002108FA">
        <w:t xml:space="preserve">The </w:t>
      </w:r>
      <w:r w:rsidRPr="002108FA">
        <w:rPr>
          <w:b/>
        </w:rPr>
        <w:t>customs officer of an i</w:t>
      </w:r>
      <w:r w:rsidR="00706413" w:rsidRPr="002108FA">
        <w:rPr>
          <w:b/>
        </w:rPr>
        <w:t xml:space="preserve">nvolved </w:t>
      </w:r>
      <w:r w:rsidRPr="002108FA">
        <w:rPr>
          <w:b/>
        </w:rPr>
        <w:t>m</w:t>
      </w:r>
      <w:r w:rsidR="00706413" w:rsidRPr="002108FA">
        <w:rPr>
          <w:b/>
        </w:rPr>
        <w:t xml:space="preserve">ember </w:t>
      </w:r>
      <w:r w:rsidRPr="002108FA">
        <w:rPr>
          <w:b/>
        </w:rPr>
        <w:t>s</w:t>
      </w:r>
      <w:r w:rsidR="00706413" w:rsidRPr="002108FA">
        <w:rPr>
          <w:b/>
        </w:rPr>
        <w:t>tate</w:t>
      </w:r>
      <w:r w:rsidR="00706413" w:rsidRPr="002108FA">
        <w:t xml:space="preserve">: is </w:t>
      </w:r>
      <w:r w:rsidRPr="002108FA">
        <w:t>a</w:t>
      </w:r>
      <w:r w:rsidR="00706413" w:rsidRPr="002108FA">
        <w:t xml:space="preserve"> customs officer </w:t>
      </w:r>
      <w:r w:rsidRPr="002108FA">
        <w:t>who can read and/or provide information about authorisation</w:t>
      </w:r>
      <w:r w:rsidR="00A11653" w:rsidRPr="002108FA">
        <w:t>s</w:t>
      </w:r>
      <w:r w:rsidRPr="002108FA">
        <w:t xml:space="preserve"> for which his country is involved</w:t>
      </w:r>
      <w:r w:rsidR="00706413" w:rsidRPr="002108FA">
        <w:t>.</w:t>
      </w:r>
    </w:p>
    <w:p w14:paraId="082C4B26" w14:textId="77777777" w:rsidR="006F2FA8" w:rsidRPr="002108FA" w:rsidRDefault="006F2FA8" w:rsidP="006F2FA8"/>
    <w:p w14:paraId="6E8652B2" w14:textId="32A5DCF3" w:rsidR="00980621" w:rsidRPr="002108FA" w:rsidRDefault="006F2FA8" w:rsidP="006F2FA8">
      <w:r w:rsidRPr="002108FA">
        <w:t>The trader</w:t>
      </w:r>
      <w:r w:rsidR="00980621" w:rsidRPr="002108FA">
        <w:t>s</w:t>
      </w:r>
      <w:r w:rsidRPr="002108FA">
        <w:t xml:space="preserve"> and the representative</w:t>
      </w:r>
      <w:r w:rsidR="00980621" w:rsidRPr="002108FA">
        <w:t>s</w:t>
      </w:r>
      <w:r w:rsidRPr="002108FA">
        <w:t xml:space="preserve"> use </w:t>
      </w:r>
      <w:r w:rsidR="003A5386" w:rsidRPr="002108FA">
        <w:t xml:space="preserve">a </w:t>
      </w:r>
      <w:r w:rsidR="00737F89" w:rsidRPr="002108FA">
        <w:t xml:space="preserve">Trader Portal </w:t>
      </w:r>
      <w:r w:rsidRPr="002108FA">
        <w:t xml:space="preserve">to </w:t>
      </w:r>
      <w:r w:rsidR="004E7545" w:rsidRPr="002108FA">
        <w:t>manage their applications and authorisations</w:t>
      </w:r>
      <w:r w:rsidR="001F06D4" w:rsidRPr="002108FA">
        <w:t xml:space="preserve"> (Art. 10 IA)</w:t>
      </w:r>
      <w:r w:rsidRPr="002108FA">
        <w:t>.</w:t>
      </w:r>
      <w:r w:rsidR="003A3452" w:rsidRPr="002108FA">
        <w:t xml:space="preserve"> </w:t>
      </w:r>
      <w:r w:rsidR="004E7545" w:rsidRPr="002108FA">
        <w:t xml:space="preserve">The </w:t>
      </w:r>
      <w:r w:rsidR="00761927" w:rsidRPr="002108FA">
        <w:t xml:space="preserve">Trader Portal </w:t>
      </w:r>
      <w:r w:rsidR="003A3452" w:rsidRPr="002108FA">
        <w:t xml:space="preserve">can be either </w:t>
      </w:r>
      <w:r w:rsidR="004E7545" w:rsidRPr="002108FA">
        <w:t xml:space="preserve">a </w:t>
      </w:r>
      <w:r w:rsidR="003A3452" w:rsidRPr="002108FA">
        <w:t>national Trader Portal (NA TP) or the European Union Trader Portal (EU TP).</w:t>
      </w:r>
    </w:p>
    <w:p w14:paraId="584618E1" w14:textId="73DCCE64" w:rsidR="006F2FA8" w:rsidRPr="002108FA" w:rsidRDefault="004E7545" w:rsidP="006F2FA8">
      <w:r w:rsidRPr="002108FA">
        <w:t>T</w:t>
      </w:r>
      <w:r w:rsidR="00980621" w:rsidRPr="002108FA">
        <w:t>he c</w:t>
      </w:r>
      <w:r w:rsidR="006F2FA8" w:rsidRPr="002108FA">
        <w:t xml:space="preserve">ustoms </w:t>
      </w:r>
      <w:r w:rsidR="00980621" w:rsidRPr="002108FA">
        <w:t>o</w:t>
      </w:r>
      <w:r w:rsidR="006F2FA8" w:rsidRPr="002108FA">
        <w:t xml:space="preserve">fficers use </w:t>
      </w:r>
      <w:r w:rsidRPr="002108FA">
        <w:t>a</w:t>
      </w:r>
      <w:r w:rsidR="006F2FA8" w:rsidRPr="002108FA">
        <w:t xml:space="preserve"> Customs Decision</w:t>
      </w:r>
      <w:r w:rsidR="00670374" w:rsidRPr="002108FA">
        <w:t>s</w:t>
      </w:r>
      <w:r w:rsidR="006F2FA8" w:rsidRPr="002108FA">
        <w:t xml:space="preserve"> Management System to </w:t>
      </w:r>
      <w:r w:rsidRPr="002108FA">
        <w:t>manage applications and authorisations</w:t>
      </w:r>
      <w:r w:rsidR="006F2FA8" w:rsidRPr="002108FA">
        <w:t>.</w:t>
      </w:r>
      <w:r w:rsidR="00AA4A24" w:rsidRPr="002108FA">
        <w:t xml:space="preserve"> It can be either </w:t>
      </w:r>
      <w:r w:rsidRPr="002108FA">
        <w:t xml:space="preserve">a </w:t>
      </w:r>
      <w:r w:rsidR="00AA4A24" w:rsidRPr="002108FA">
        <w:t>national Customs De</w:t>
      </w:r>
      <w:r w:rsidR="0032769E" w:rsidRPr="002108FA">
        <w:t>cision</w:t>
      </w:r>
      <w:r w:rsidR="003A5386" w:rsidRPr="002108FA">
        <w:t>s</w:t>
      </w:r>
      <w:r w:rsidR="0032769E" w:rsidRPr="002108FA">
        <w:t xml:space="preserve"> </w:t>
      </w:r>
      <w:r w:rsidR="003A5386" w:rsidRPr="002108FA">
        <w:t xml:space="preserve">Management </w:t>
      </w:r>
      <w:r w:rsidR="0032769E" w:rsidRPr="002108FA">
        <w:t>System (NA CD</w:t>
      </w:r>
      <w:r w:rsidR="003A5386" w:rsidRPr="002108FA">
        <w:t>M</w:t>
      </w:r>
      <w:r w:rsidR="00AA4A24" w:rsidRPr="002108FA">
        <w:t>S) or the European Union Customs Decision</w:t>
      </w:r>
      <w:r w:rsidR="003A5386" w:rsidRPr="002108FA">
        <w:t>s Management</w:t>
      </w:r>
      <w:r w:rsidR="00AA4A24" w:rsidRPr="002108FA">
        <w:t xml:space="preserve"> System</w:t>
      </w:r>
      <w:r w:rsidR="0032769E" w:rsidRPr="002108FA">
        <w:t xml:space="preserve"> (EU CD</w:t>
      </w:r>
      <w:r w:rsidR="003A5386" w:rsidRPr="002108FA">
        <w:t>M</w:t>
      </w:r>
      <w:r w:rsidR="00AA4A24" w:rsidRPr="002108FA">
        <w:t>S).</w:t>
      </w:r>
    </w:p>
    <w:p w14:paraId="60D17A75" w14:textId="33D8458B" w:rsidR="0032769E" w:rsidRPr="002108FA" w:rsidRDefault="0032769E">
      <w:pPr>
        <w:pStyle w:val="Heading2"/>
      </w:pPr>
      <w:bookmarkStart w:id="11" w:name="_Ref483830938"/>
      <w:r w:rsidRPr="002108FA">
        <w:t>Architectural</w:t>
      </w:r>
      <w:r w:rsidR="00E04F6D" w:rsidRPr="002108FA">
        <w:t xml:space="preserve"> o</w:t>
      </w:r>
      <w:r w:rsidRPr="002108FA">
        <w:t xml:space="preserve">verview of </w:t>
      </w:r>
      <w:r w:rsidR="00E04F6D" w:rsidRPr="002108FA">
        <w:t>t</w:t>
      </w:r>
      <w:r w:rsidRPr="002108FA">
        <w:t xml:space="preserve">he CDS </w:t>
      </w:r>
      <w:r w:rsidR="00E04F6D" w:rsidRPr="002108FA">
        <w:t>components</w:t>
      </w:r>
      <w:bookmarkEnd w:id="11"/>
    </w:p>
    <w:p w14:paraId="0AF0B05A" w14:textId="351C37B2" w:rsidR="006D4191" w:rsidRPr="002108FA" w:rsidRDefault="006D4191" w:rsidP="006D4191">
      <w:pPr>
        <w:pStyle w:val="Heading3"/>
      </w:pPr>
      <w:r w:rsidRPr="002108FA">
        <w:t>Components</w:t>
      </w:r>
    </w:p>
    <w:p w14:paraId="330B92D9" w14:textId="3BBEB066" w:rsidR="00E76028" w:rsidRPr="002108FA" w:rsidRDefault="00E76028" w:rsidP="004E7545">
      <w:r w:rsidRPr="002108FA">
        <w:t>As indicated in the introduction of this section, the Customs Decisions IT system is a hybrid system, composed of a central system, and optional national systems.</w:t>
      </w:r>
    </w:p>
    <w:p w14:paraId="71CD54FF" w14:textId="44E3BEDF" w:rsidR="004E7545" w:rsidRPr="002108FA" w:rsidRDefault="004E7545" w:rsidP="004E7545">
      <w:r w:rsidRPr="002108FA">
        <w:t xml:space="preserve">The overall system is </w:t>
      </w:r>
      <w:r w:rsidR="00E76028" w:rsidRPr="002108FA">
        <w:t xml:space="preserve">thus </w:t>
      </w:r>
      <w:r w:rsidRPr="002108FA">
        <w:t xml:space="preserve">composed of several components, some of them being national entities, other being EU / central entities. </w:t>
      </w:r>
      <w:r w:rsidRPr="00AC44B1">
        <w:fldChar w:fldCharType="begin"/>
      </w:r>
      <w:r w:rsidRPr="002108FA">
        <w:instrText xml:space="preserve"> REF _Ref477784215 \h </w:instrText>
      </w:r>
      <w:r w:rsidRPr="00AC44B1">
        <w:fldChar w:fldCharType="separate"/>
      </w:r>
      <w:r w:rsidR="006D18FB" w:rsidRPr="002108FA">
        <w:t xml:space="preserve">Figure </w:t>
      </w:r>
      <w:r w:rsidR="006D18FB">
        <w:rPr>
          <w:noProof/>
        </w:rPr>
        <w:t>4</w:t>
      </w:r>
      <w:r w:rsidRPr="00AC44B1">
        <w:fldChar w:fldCharType="end"/>
      </w:r>
      <w:r w:rsidRPr="002108FA">
        <w:t xml:space="preserve"> presents a high-level overview of this architecture</w:t>
      </w:r>
      <w:r w:rsidR="00E76028" w:rsidRPr="002108FA">
        <w:t xml:space="preserve"> as well as potential flows of information (which will be detailed later)</w:t>
      </w:r>
      <w:r w:rsidRPr="002108FA">
        <w:t>.</w:t>
      </w:r>
    </w:p>
    <w:p w14:paraId="0D12BA3A" w14:textId="77777777" w:rsidR="004E7545" w:rsidRPr="002108FA" w:rsidRDefault="004E7545" w:rsidP="00E04F6D">
      <w:pPr>
        <w:keepNext/>
      </w:pPr>
    </w:p>
    <w:p w14:paraId="637AA232" w14:textId="6FC68819" w:rsidR="00E04F6D" w:rsidRPr="002108FA" w:rsidRDefault="00AD3A80" w:rsidP="00AD3A80">
      <w:pPr>
        <w:keepNext/>
        <w:jc w:val="center"/>
      </w:pPr>
      <w:r w:rsidRPr="00F53A0E">
        <w:object w:dxaOrig="17329" w:dyaOrig="10817" w14:anchorId="0CD79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255pt" o:ole="">
            <v:imagedata r:id="rId17" o:title=""/>
          </v:shape>
          <o:OLEObject Type="Embed" ProgID="Visio.Drawing.11" ShapeID="_x0000_i1025" DrawAspect="Content" ObjectID="_1603282335" r:id="rId18"/>
        </w:object>
      </w:r>
    </w:p>
    <w:p w14:paraId="72AD330D" w14:textId="3EE1986E" w:rsidR="00E04F6D" w:rsidRPr="002108FA" w:rsidRDefault="00E04F6D" w:rsidP="00E04F6D">
      <w:pPr>
        <w:pStyle w:val="Caption"/>
      </w:pPr>
      <w:bookmarkStart w:id="12" w:name="_Ref477784215"/>
      <w:r w:rsidRPr="002108FA">
        <w:t xml:space="preserve">Figure </w:t>
      </w:r>
      <w:r w:rsidR="00964BE7" w:rsidRPr="00F53A0E">
        <w:fldChar w:fldCharType="begin"/>
      </w:r>
      <w:r w:rsidR="00964BE7" w:rsidRPr="002108FA">
        <w:instrText xml:space="preserve"> SEQ Figure \* ARABIC </w:instrText>
      </w:r>
      <w:r w:rsidR="00964BE7" w:rsidRPr="00F53A0E">
        <w:fldChar w:fldCharType="separate"/>
      </w:r>
      <w:r w:rsidR="006D18FB">
        <w:rPr>
          <w:noProof/>
        </w:rPr>
        <w:t>4</w:t>
      </w:r>
      <w:r w:rsidR="00964BE7" w:rsidRPr="00F53A0E">
        <w:rPr>
          <w:noProof/>
        </w:rPr>
        <w:fldChar w:fldCharType="end"/>
      </w:r>
      <w:bookmarkEnd w:id="12"/>
      <w:r w:rsidRPr="002108FA">
        <w:t xml:space="preserve"> High Level Architecture of the Customs Decision</w:t>
      </w:r>
      <w:r w:rsidR="00670374" w:rsidRPr="002108FA">
        <w:t>s</w:t>
      </w:r>
      <w:r w:rsidRPr="002108FA">
        <w:t xml:space="preserve"> </w:t>
      </w:r>
      <w:r w:rsidR="004259B7" w:rsidRPr="002108FA">
        <w:t>s</w:t>
      </w:r>
      <w:r w:rsidRPr="002108FA">
        <w:t>ystem</w:t>
      </w:r>
    </w:p>
    <w:p w14:paraId="66C510C5" w14:textId="63CAB30E" w:rsidR="00937F8A" w:rsidRPr="002108FA" w:rsidRDefault="00E04F6D" w:rsidP="00E04F6D">
      <w:r w:rsidRPr="002108FA">
        <w:t xml:space="preserve">Here is the list of the different elements composing the overall architecture: </w:t>
      </w:r>
    </w:p>
    <w:p w14:paraId="28D12866" w14:textId="670C8CE3" w:rsidR="00A832EC" w:rsidRPr="00F53A0E" w:rsidRDefault="00A832EC" w:rsidP="00111D2C">
      <w:pPr>
        <w:rPr>
          <w:b/>
          <w:u w:val="single"/>
          <w:lang w:val="fr-BE"/>
        </w:rPr>
      </w:pPr>
      <w:r w:rsidRPr="00F53A0E">
        <w:rPr>
          <w:b/>
          <w:u w:val="single"/>
          <w:lang w:val="fr-BE"/>
        </w:rPr>
        <w:t>Central components</w:t>
      </w:r>
      <w:r w:rsidR="000C0114" w:rsidRPr="00F53A0E">
        <w:rPr>
          <w:b/>
          <w:u w:val="single"/>
          <w:lang w:val="fr-BE"/>
        </w:rPr>
        <w:t>:</w:t>
      </w:r>
    </w:p>
    <w:p w14:paraId="337F8C90" w14:textId="77777777" w:rsidR="00E04F6D" w:rsidRPr="00DD3BB0" w:rsidRDefault="00E04F6D" w:rsidP="00111D2C">
      <w:r w:rsidRPr="00F53A0E">
        <w:rPr>
          <w:b/>
          <w:lang w:val="fr-BE"/>
        </w:rPr>
        <w:t>EU TP:</w:t>
      </w:r>
      <w:r w:rsidRPr="00AC44B1">
        <w:rPr>
          <w:lang w:val="fr-BE"/>
        </w:rPr>
        <w:t xml:space="preserve"> EU Trader Portal.</w:t>
      </w:r>
      <w:r w:rsidRPr="00AC44B1">
        <w:rPr>
          <w:rFonts w:eastAsiaTheme="minorEastAsia" w:cstheme="minorBidi"/>
          <w:color w:val="0F5494"/>
          <w:kern w:val="24"/>
          <w:sz w:val="32"/>
          <w:szCs w:val="32"/>
          <w:lang w:val="fr-BE" w:eastAsia="en-GB"/>
        </w:rPr>
        <w:t xml:space="preserve"> </w:t>
      </w:r>
      <w:r w:rsidRPr="002108FA">
        <w:t>It can communicate with:</w:t>
      </w:r>
    </w:p>
    <w:p w14:paraId="3F40376B" w14:textId="77777777" w:rsidR="00E04F6D" w:rsidRPr="002108FA" w:rsidRDefault="00E04F6D" w:rsidP="00E04F6D">
      <w:pPr>
        <w:pStyle w:val="ListParagraph"/>
        <w:numPr>
          <w:ilvl w:val="1"/>
          <w:numId w:val="49"/>
        </w:numPr>
      </w:pPr>
      <w:r w:rsidRPr="002108FA">
        <w:rPr>
          <w:b/>
          <w:bCs/>
        </w:rPr>
        <w:t>EU CDMS</w:t>
      </w:r>
      <w:r w:rsidRPr="002108FA">
        <w:t>;</w:t>
      </w:r>
    </w:p>
    <w:p w14:paraId="471F1C63" w14:textId="446CE970" w:rsidR="004E7545" w:rsidRPr="002108FA" w:rsidRDefault="00E04F6D" w:rsidP="004E7545">
      <w:pPr>
        <w:pStyle w:val="ListParagraph"/>
        <w:numPr>
          <w:ilvl w:val="1"/>
          <w:numId w:val="49"/>
        </w:numPr>
      </w:pPr>
      <w:r w:rsidRPr="002108FA">
        <w:rPr>
          <w:b/>
          <w:bCs/>
        </w:rPr>
        <w:t>NA CDMS</w:t>
      </w:r>
      <w:r w:rsidRPr="002108FA">
        <w:t>.</w:t>
      </w:r>
    </w:p>
    <w:p w14:paraId="5B6327D4" w14:textId="59AFAF64" w:rsidR="00E04F6D" w:rsidRPr="002108FA" w:rsidRDefault="00E04F6D" w:rsidP="00E04F6D">
      <w:pPr>
        <w:pStyle w:val="ListParagraph"/>
        <w:numPr>
          <w:ilvl w:val="0"/>
          <w:numId w:val="49"/>
        </w:numPr>
      </w:pPr>
      <w:r w:rsidRPr="002108FA">
        <w:rPr>
          <w:b/>
        </w:rPr>
        <w:t>Central (EU) CDMS:</w:t>
      </w:r>
      <w:r w:rsidRPr="002108FA">
        <w:t xml:space="preserve"> Central Customs</w:t>
      </w:r>
      <w:r w:rsidR="00A11653" w:rsidRPr="002108FA">
        <w:t xml:space="preserve"> </w:t>
      </w:r>
      <w:r w:rsidRPr="002108FA">
        <w:t>Decision</w:t>
      </w:r>
      <w:r w:rsidR="004E7545" w:rsidRPr="002108FA">
        <w:t>s</w:t>
      </w:r>
      <w:r w:rsidRPr="002108FA">
        <w:t xml:space="preserve"> Management System. It can be decomposed into:</w:t>
      </w:r>
    </w:p>
    <w:p w14:paraId="05FBD3AD" w14:textId="43E86CFD" w:rsidR="00E04F6D" w:rsidRPr="002108FA" w:rsidRDefault="00E04F6D" w:rsidP="00E04F6D">
      <w:pPr>
        <w:pStyle w:val="ListParagraph"/>
        <w:numPr>
          <w:ilvl w:val="1"/>
          <w:numId w:val="49"/>
        </w:numPr>
      </w:pPr>
      <w:r w:rsidRPr="002108FA">
        <w:rPr>
          <w:b/>
        </w:rPr>
        <w:t>Common part:</w:t>
      </w:r>
      <w:r w:rsidRPr="002108FA">
        <w:t xml:space="preserve"> In charge </w:t>
      </w:r>
      <w:r w:rsidR="00A11653" w:rsidRPr="002108FA">
        <w:t xml:space="preserve">of </w:t>
      </w:r>
      <w:r w:rsidRPr="002108FA">
        <w:t>handling the different processes (e.g. Amendment, Revocation, etc.).</w:t>
      </w:r>
      <w:r w:rsidRPr="002108FA">
        <w:rPr>
          <w:rFonts w:eastAsiaTheme="minorEastAsia" w:cstheme="minorBidi"/>
          <w:color w:val="0F5494"/>
          <w:kern w:val="24"/>
          <w:sz w:val="32"/>
          <w:szCs w:val="32"/>
          <w:lang w:eastAsia="en-GB"/>
        </w:rPr>
        <w:t xml:space="preserve"> </w:t>
      </w:r>
      <w:r w:rsidRPr="002108FA">
        <w:t>It communicates with:</w:t>
      </w:r>
    </w:p>
    <w:p w14:paraId="28F4374A" w14:textId="77777777" w:rsidR="00E04F6D" w:rsidRPr="002108FA" w:rsidRDefault="00E04F6D" w:rsidP="00E04F6D">
      <w:pPr>
        <w:pStyle w:val="ListParagraph"/>
        <w:numPr>
          <w:ilvl w:val="2"/>
          <w:numId w:val="49"/>
        </w:numPr>
      </w:pPr>
      <w:r w:rsidRPr="002108FA">
        <w:rPr>
          <w:b/>
          <w:bCs/>
        </w:rPr>
        <w:t>EU TP;</w:t>
      </w:r>
    </w:p>
    <w:p w14:paraId="3BF9E880" w14:textId="1E347BC1" w:rsidR="00E04F6D" w:rsidRPr="002108FA" w:rsidRDefault="00E04F6D" w:rsidP="00E04F6D">
      <w:pPr>
        <w:pStyle w:val="ListParagraph"/>
        <w:numPr>
          <w:ilvl w:val="2"/>
          <w:numId w:val="49"/>
        </w:numPr>
      </w:pPr>
      <w:r w:rsidRPr="002108FA">
        <w:rPr>
          <w:b/>
          <w:bCs/>
        </w:rPr>
        <w:t>CNP</w:t>
      </w:r>
      <w:r w:rsidR="000A2B0B" w:rsidRPr="002108FA">
        <w:rPr>
          <w:b/>
          <w:bCs/>
        </w:rPr>
        <w:t xml:space="preserve"> </w:t>
      </w:r>
      <w:r w:rsidRPr="002108FA">
        <w:rPr>
          <w:b/>
          <w:bCs/>
        </w:rPr>
        <w:t>module</w:t>
      </w:r>
      <w:r w:rsidR="000A2B0B" w:rsidRPr="002108FA">
        <w:rPr>
          <w:b/>
          <w:bCs/>
        </w:rPr>
        <w:t xml:space="preserve"> </w:t>
      </w:r>
      <w:r w:rsidR="000A2B0B" w:rsidRPr="002108FA">
        <w:rPr>
          <w:bCs/>
        </w:rPr>
        <w:t>(</w:t>
      </w:r>
      <w:r w:rsidR="000A2B0B" w:rsidRPr="002108FA">
        <w:t>Communication, Notification and Publication)</w:t>
      </w:r>
      <w:r w:rsidRPr="002108FA">
        <w:rPr>
          <w:b/>
          <w:bCs/>
        </w:rPr>
        <w:t>.</w:t>
      </w:r>
    </w:p>
    <w:p w14:paraId="7D594F70" w14:textId="011718B5" w:rsidR="00E04F6D" w:rsidRPr="002108FA" w:rsidRDefault="00E04F6D" w:rsidP="00E04F6D">
      <w:pPr>
        <w:pStyle w:val="ListParagraph"/>
        <w:numPr>
          <w:ilvl w:val="1"/>
          <w:numId w:val="49"/>
        </w:numPr>
      </w:pPr>
      <w:r w:rsidRPr="002108FA">
        <w:rPr>
          <w:b/>
        </w:rPr>
        <w:t>CNP</w:t>
      </w:r>
      <w:r w:rsidR="004E7545" w:rsidRPr="002108FA">
        <w:rPr>
          <w:b/>
        </w:rPr>
        <w:t xml:space="preserve"> module</w:t>
      </w:r>
      <w:r w:rsidRPr="002108FA">
        <w:rPr>
          <w:b/>
        </w:rPr>
        <w:t>:</w:t>
      </w:r>
      <w:r w:rsidRPr="002108FA">
        <w:t xml:space="preserve"> </w:t>
      </w:r>
      <w:r w:rsidR="005F20BC" w:rsidRPr="002108FA">
        <w:t xml:space="preserve">Communication, Notification and Publication </w:t>
      </w:r>
      <w:r w:rsidR="000A2B0B" w:rsidRPr="002108FA">
        <w:t>module</w:t>
      </w:r>
      <w:r w:rsidR="005F20BC" w:rsidRPr="002108FA">
        <w:t>. It is</w:t>
      </w:r>
      <w:r w:rsidRPr="002108FA">
        <w:t xml:space="preserve"> in charge of communicating with the national CDMS and CRS.</w:t>
      </w:r>
      <w:r w:rsidRPr="002108FA">
        <w:rPr>
          <w:rFonts w:eastAsiaTheme="minorEastAsia" w:cstheme="minorBidi"/>
          <w:color w:val="0F5494"/>
          <w:kern w:val="24"/>
          <w:sz w:val="32"/>
          <w:szCs w:val="32"/>
          <w:lang w:eastAsia="en-GB"/>
        </w:rPr>
        <w:t xml:space="preserve"> </w:t>
      </w:r>
      <w:r w:rsidRPr="002108FA">
        <w:t>It thus communicates with:</w:t>
      </w:r>
    </w:p>
    <w:p w14:paraId="66496CD4" w14:textId="77777777" w:rsidR="00E04F6D" w:rsidRPr="002108FA" w:rsidRDefault="00E04F6D" w:rsidP="00E04F6D">
      <w:pPr>
        <w:pStyle w:val="ListParagraph"/>
        <w:numPr>
          <w:ilvl w:val="2"/>
          <w:numId w:val="49"/>
        </w:numPr>
      </w:pPr>
      <w:r w:rsidRPr="002108FA">
        <w:rPr>
          <w:b/>
          <w:bCs/>
        </w:rPr>
        <w:t>Common module of CDMS;</w:t>
      </w:r>
    </w:p>
    <w:p w14:paraId="29E0E5A5" w14:textId="77777777" w:rsidR="00E04F6D" w:rsidRPr="002108FA" w:rsidRDefault="00E04F6D" w:rsidP="00E04F6D">
      <w:pPr>
        <w:pStyle w:val="ListParagraph"/>
        <w:numPr>
          <w:ilvl w:val="2"/>
          <w:numId w:val="49"/>
        </w:numPr>
      </w:pPr>
      <w:r w:rsidRPr="002108FA">
        <w:rPr>
          <w:b/>
          <w:bCs/>
        </w:rPr>
        <w:t>NA CDMS</w:t>
      </w:r>
      <w:r w:rsidRPr="002108FA">
        <w:t xml:space="preserve"> (hybrid approach)</w:t>
      </w:r>
      <w:r w:rsidRPr="002108FA">
        <w:rPr>
          <w:b/>
          <w:bCs/>
        </w:rPr>
        <w:t>;</w:t>
      </w:r>
    </w:p>
    <w:p w14:paraId="33D6C29C" w14:textId="77777777" w:rsidR="00E04F6D" w:rsidRPr="002108FA" w:rsidRDefault="00E04F6D" w:rsidP="00E04F6D">
      <w:pPr>
        <w:pStyle w:val="ListParagraph"/>
        <w:numPr>
          <w:ilvl w:val="2"/>
          <w:numId w:val="49"/>
        </w:numPr>
      </w:pPr>
      <w:r w:rsidRPr="002108FA">
        <w:rPr>
          <w:b/>
          <w:bCs/>
        </w:rPr>
        <w:t>CRS.</w:t>
      </w:r>
    </w:p>
    <w:p w14:paraId="50F4A214" w14:textId="38FCEF9C" w:rsidR="00E04F6D" w:rsidRPr="002108FA" w:rsidRDefault="00E04F6D" w:rsidP="005F20BC">
      <w:pPr>
        <w:pStyle w:val="ListParagraph"/>
        <w:numPr>
          <w:ilvl w:val="0"/>
          <w:numId w:val="49"/>
        </w:numPr>
      </w:pPr>
      <w:r w:rsidRPr="002108FA">
        <w:rPr>
          <w:b/>
        </w:rPr>
        <w:t xml:space="preserve">CRS: </w:t>
      </w:r>
      <w:r w:rsidR="00B51CBC" w:rsidRPr="002108FA">
        <w:t>Customs</w:t>
      </w:r>
      <w:r w:rsidR="00B51CBC" w:rsidRPr="002108FA">
        <w:rPr>
          <w:b/>
        </w:rPr>
        <w:t xml:space="preserve"> </w:t>
      </w:r>
      <w:r w:rsidRPr="002108FA">
        <w:t xml:space="preserve">Customer Reference System. </w:t>
      </w:r>
      <w:r w:rsidR="005F20BC" w:rsidRPr="002108FA">
        <w:t xml:space="preserve">It records all authorisations – so that they can be accessed by external (to CD systems) tools (NCTS, </w:t>
      </w:r>
      <w:proofErr w:type="gramStart"/>
      <w:r w:rsidR="005F20BC" w:rsidRPr="002108FA">
        <w:t>ICS, …)</w:t>
      </w:r>
      <w:proofErr w:type="gramEnd"/>
      <w:r w:rsidR="005F20BC" w:rsidRPr="002108FA">
        <w:t xml:space="preserve">. It is also the place where the results of the processes are recorded (e.g. annulment of the customs decision, etc.). </w:t>
      </w:r>
      <w:r w:rsidRPr="002108FA">
        <w:t>This module communicates with:</w:t>
      </w:r>
    </w:p>
    <w:p w14:paraId="53FAB713" w14:textId="77777777" w:rsidR="00E04F6D" w:rsidRPr="002108FA" w:rsidRDefault="00E04F6D" w:rsidP="00E04F6D">
      <w:pPr>
        <w:pStyle w:val="ListParagraph"/>
        <w:numPr>
          <w:ilvl w:val="1"/>
          <w:numId w:val="49"/>
        </w:numPr>
      </w:pPr>
      <w:r w:rsidRPr="002108FA">
        <w:rPr>
          <w:b/>
          <w:bCs/>
        </w:rPr>
        <w:t>CNP module of the EU CDMS</w:t>
      </w:r>
      <w:r w:rsidRPr="002108FA">
        <w:t>;</w:t>
      </w:r>
    </w:p>
    <w:p w14:paraId="544E3DA0" w14:textId="5FE0E688" w:rsidR="00E04F6D" w:rsidRPr="002108FA" w:rsidRDefault="00E04F6D" w:rsidP="00E04F6D">
      <w:pPr>
        <w:pStyle w:val="ListParagraph"/>
        <w:numPr>
          <w:ilvl w:val="1"/>
          <w:numId w:val="49"/>
        </w:numPr>
      </w:pPr>
      <w:r w:rsidRPr="002108FA">
        <w:rPr>
          <w:b/>
          <w:bCs/>
        </w:rPr>
        <w:t>External applications</w:t>
      </w:r>
      <w:r w:rsidR="004E7545" w:rsidRPr="002108FA">
        <w:rPr>
          <w:bCs/>
        </w:rPr>
        <w:t xml:space="preserve"> (NCTS, ECS, ICS)</w:t>
      </w:r>
      <w:r w:rsidRPr="002108FA">
        <w:t>.</w:t>
      </w:r>
    </w:p>
    <w:p w14:paraId="21285DBB" w14:textId="286DDE25" w:rsidR="00A832EC" w:rsidRPr="002108FA" w:rsidRDefault="00A832EC" w:rsidP="00111D2C">
      <w:pPr>
        <w:rPr>
          <w:b/>
          <w:u w:val="single"/>
        </w:rPr>
      </w:pPr>
      <w:r w:rsidRPr="002108FA">
        <w:rPr>
          <w:b/>
          <w:u w:val="single"/>
        </w:rPr>
        <w:t>National components</w:t>
      </w:r>
      <w:r w:rsidR="000C0114" w:rsidRPr="002108FA">
        <w:rPr>
          <w:b/>
          <w:u w:val="single"/>
        </w:rPr>
        <w:t>:</w:t>
      </w:r>
    </w:p>
    <w:p w14:paraId="589F0847" w14:textId="77777777" w:rsidR="00E04F6D" w:rsidRPr="002108FA" w:rsidRDefault="00E04F6D" w:rsidP="00E04F6D">
      <w:pPr>
        <w:pStyle w:val="ListParagraph"/>
        <w:numPr>
          <w:ilvl w:val="0"/>
          <w:numId w:val="49"/>
        </w:numPr>
      </w:pPr>
      <w:r w:rsidRPr="002108FA">
        <w:rPr>
          <w:b/>
        </w:rPr>
        <w:t xml:space="preserve">NA TP: </w:t>
      </w:r>
      <w:r w:rsidRPr="002108FA">
        <w:t>National Trader Portal.</w:t>
      </w:r>
      <w:r w:rsidRPr="002108FA">
        <w:rPr>
          <w:rFonts w:eastAsiaTheme="minorEastAsia" w:cstheme="minorBidi"/>
          <w:color w:val="0F5494"/>
          <w:kern w:val="24"/>
          <w:sz w:val="32"/>
          <w:szCs w:val="32"/>
          <w:lang w:eastAsia="en-GB"/>
        </w:rPr>
        <w:t xml:space="preserve"> </w:t>
      </w:r>
      <w:r w:rsidRPr="002108FA">
        <w:t>It communicates with:</w:t>
      </w:r>
    </w:p>
    <w:p w14:paraId="680D6DDF" w14:textId="77777777" w:rsidR="00E04F6D" w:rsidRPr="002108FA" w:rsidRDefault="00E04F6D" w:rsidP="00E04F6D">
      <w:pPr>
        <w:pStyle w:val="ListParagraph"/>
        <w:numPr>
          <w:ilvl w:val="1"/>
          <w:numId w:val="49"/>
        </w:numPr>
      </w:pPr>
      <w:r w:rsidRPr="002108FA">
        <w:rPr>
          <w:b/>
          <w:bCs/>
        </w:rPr>
        <w:t>NA CDMS.</w:t>
      </w:r>
    </w:p>
    <w:p w14:paraId="663CFB4C" w14:textId="1B6FF3BD" w:rsidR="00E04F6D" w:rsidRPr="002108FA" w:rsidRDefault="00E04F6D" w:rsidP="00E04F6D">
      <w:pPr>
        <w:pStyle w:val="ListParagraph"/>
        <w:numPr>
          <w:ilvl w:val="0"/>
          <w:numId w:val="49"/>
        </w:numPr>
      </w:pPr>
      <w:r w:rsidRPr="002108FA">
        <w:rPr>
          <w:b/>
        </w:rPr>
        <w:t>NA CDMS:</w:t>
      </w:r>
      <w:r w:rsidRPr="002108FA">
        <w:t xml:space="preserve"> National Customs</w:t>
      </w:r>
      <w:r w:rsidR="00A11653" w:rsidRPr="002108FA">
        <w:t xml:space="preserve"> </w:t>
      </w:r>
      <w:r w:rsidRPr="002108FA">
        <w:t>Decision</w:t>
      </w:r>
      <w:r w:rsidR="004E7545" w:rsidRPr="002108FA">
        <w:t>s</w:t>
      </w:r>
      <w:r w:rsidRPr="002108FA">
        <w:t xml:space="preserve"> Management System.</w:t>
      </w:r>
      <w:r w:rsidRPr="002108FA">
        <w:rPr>
          <w:rFonts w:eastAsiaTheme="minorEastAsia" w:cstheme="minorBidi"/>
          <w:color w:val="0F5494"/>
          <w:kern w:val="24"/>
          <w:sz w:val="32"/>
          <w:szCs w:val="32"/>
          <w:lang w:eastAsia="en-GB"/>
        </w:rPr>
        <w:t xml:space="preserve"> </w:t>
      </w:r>
      <w:r w:rsidRPr="002108FA">
        <w:t xml:space="preserve">It </w:t>
      </w:r>
      <w:r w:rsidR="004E7545" w:rsidRPr="002108FA">
        <w:t xml:space="preserve">can </w:t>
      </w:r>
      <w:r w:rsidRPr="002108FA">
        <w:t>communicate with:</w:t>
      </w:r>
    </w:p>
    <w:p w14:paraId="4C81730B" w14:textId="77777777" w:rsidR="00E04F6D" w:rsidRPr="002108FA" w:rsidRDefault="00E04F6D" w:rsidP="00E04F6D">
      <w:pPr>
        <w:pStyle w:val="ListParagraph"/>
        <w:numPr>
          <w:ilvl w:val="1"/>
          <w:numId w:val="49"/>
        </w:numPr>
      </w:pPr>
      <w:r w:rsidRPr="002108FA">
        <w:rPr>
          <w:b/>
          <w:bCs/>
        </w:rPr>
        <w:t>NA TP;</w:t>
      </w:r>
    </w:p>
    <w:p w14:paraId="1D273E12" w14:textId="523C1E1E" w:rsidR="00E04F6D" w:rsidRPr="002108FA" w:rsidRDefault="00E04F6D" w:rsidP="00E04F6D">
      <w:pPr>
        <w:pStyle w:val="ListParagraph"/>
        <w:numPr>
          <w:ilvl w:val="1"/>
          <w:numId w:val="49"/>
        </w:numPr>
      </w:pPr>
      <w:r w:rsidRPr="002108FA">
        <w:rPr>
          <w:b/>
          <w:bCs/>
        </w:rPr>
        <w:t>CNP module of the EU CDMS</w:t>
      </w:r>
      <w:r w:rsidRPr="002108FA">
        <w:t xml:space="preserve"> (hybrid approach).</w:t>
      </w:r>
    </w:p>
    <w:p w14:paraId="675C507E" w14:textId="638B8FF9" w:rsidR="00E76028" w:rsidRPr="002108FA" w:rsidRDefault="00E76028" w:rsidP="00315103">
      <w:r w:rsidRPr="002108FA">
        <w:t>The following sections detail how the systems can effectively be used and accessed by the different users.</w:t>
      </w:r>
    </w:p>
    <w:p w14:paraId="4C37AFEB" w14:textId="2207277B" w:rsidR="004E7545" w:rsidRPr="002108FA" w:rsidRDefault="004E7545" w:rsidP="00315103">
      <w:pPr>
        <w:pStyle w:val="Heading3"/>
      </w:pPr>
      <w:r w:rsidRPr="002108FA">
        <w:t>Strategies</w:t>
      </w:r>
    </w:p>
    <w:p w14:paraId="5A564B8B" w14:textId="35A8964C" w:rsidR="00E76028" w:rsidRPr="002108FA" w:rsidRDefault="00E76028" w:rsidP="004E7545">
      <w:r w:rsidRPr="002108FA">
        <w:t>As already described, MS may decide to use either the EU applications or to develop their own.</w:t>
      </w:r>
    </w:p>
    <w:p w14:paraId="7064201F" w14:textId="5CF5AB83" w:rsidR="004E7545" w:rsidRPr="002108FA" w:rsidRDefault="004E7545" w:rsidP="004E7545">
      <w:r w:rsidRPr="002108FA">
        <w:t xml:space="preserve">In order to understand the different possible flows and the correlation between the aforementioned </w:t>
      </w:r>
      <w:r w:rsidR="00E76028" w:rsidRPr="002108FA">
        <w:t>components</w:t>
      </w:r>
      <w:r w:rsidRPr="002108FA">
        <w:t>, the following paragraphs describe where the trader can apply for a customs decision, depending on the strateg</w:t>
      </w:r>
      <w:r w:rsidR="00657F71" w:rsidRPr="002108FA">
        <w:t>y that has been followed by his</w:t>
      </w:r>
      <w:r w:rsidRPr="002108FA">
        <w:t xml:space="preserve"> country.</w:t>
      </w:r>
    </w:p>
    <w:p w14:paraId="7FB8450F" w14:textId="15F619F5" w:rsidR="00E76028" w:rsidRPr="002108FA" w:rsidRDefault="00E76028" w:rsidP="004E7545">
      <w:r w:rsidRPr="002108FA">
        <w:t>Three strategies have been defined: the central approach, where the MS use</w:t>
      </w:r>
      <w:r w:rsidR="00035366" w:rsidRPr="002108FA">
        <w:t>s</w:t>
      </w:r>
      <w:r w:rsidRPr="002108FA">
        <w:t xml:space="preserve"> only the EU applications; the national approach, where the MS only uses its own applications; or the hybrid approach where a combination of national and EU applications is used.</w:t>
      </w:r>
    </w:p>
    <w:p w14:paraId="5A72C3B0" w14:textId="189C3206" w:rsidR="00E04F6D" w:rsidRPr="002108FA" w:rsidRDefault="00E04F6D" w:rsidP="00315103">
      <w:pPr>
        <w:pStyle w:val="Heading4"/>
      </w:pPr>
      <w:r w:rsidRPr="002108FA">
        <w:t>Strategy 1: Central Approach</w:t>
      </w:r>
    </w:p>
    <w:p w14:paraId="7FCA260D" w14:textId="437EC70A" w:rsidR="00E04F6D" w:rsidRPr="002108FA" w:rsidRDefault="00E04F6D" w:rsidP="00E04F6D">
      <w:r w:rsidRPr="002108FA">
        <w:t xml:space="preserve">In case the MS decides to follow the central approach, all applications </w:t>
      </w:r>
      <w:r w:rsidR="00E76028" w:rsidRPr="002108FA">
        <w:t xml:space="preserve">must </w:t>
      </w:r>
      <w:r w:rsidRPr="002108FA">
        <w:t xml:space="preserve">be submitted via the EU Trader Portal. The decision to grant or not the authorisation, as well as the management of the authorisation is then performed in the central CDMS. The central approach is depicted in </w:t>
      </w:r>
      <w:r w:rsidR="00E76028" w:rsidRPr="00AC44B1">
        <w:fldChar w:fldCharType="begin"/>
      </w:r>
      <w:r w:rsidR="00E76028" w:rsidRPr="002108FA">
        <w:instrText xml:space="preserve"> REF _Ref484093021 \h </w:instrText>
      </w:r>
      <w:r w:rsidR="00E76028" w:rsidRPr="00AC44B1">
        <w:fldChar w:fldCharType="separate"/>
      </w:r>
      <w:r w:rsidR="006D18FB" w:rsidRPr="002108FA">
        <w:t xml:space="preserve">Figure </w:t>
      </w:r>
      <w:r w:rsidR="006D18FB">
        <w:rPr>
          <w:noProof/>
        </w:rPr>
        <w:t>5</w:t>
      </w:r>
      <w:r w:rsidR="00E76028" w:rsidRPr="00AC44B1">
        <w:fldChar w:fldCharType="end"/>
      </w:r>
      <w:r w:rsidRPr="002108FA">
        <w:t>.</w:t>
      </w:r>
    </w:p>
    <w:p w14:paraId="118B747E" w14:textId="49C69DEB" w:rsidR="00E04F6D" w:rsidRPr="002108FA" w:rsidRDefault="00113362" w:rsidP="00E04F6D">
      <w:pPr>
        <w:keepNext/>
      </w:pPr>
      <w:r w:rsidRPr="00F53A0E">
        <w:object w:dxaOrig="14600" w:dyaOrig="10683" w14:anchorId="498A3ACA">
          <v:shape id="_x0000_i1026" type="#_x0000_t75" style="width:387.75pt;height:283.5pt" o:ole="">
            <v:imagedata r:id="rId19" o:title=""/>
          </v:shape>
          <o:OLEObject Type="Embed" ProgID="Visio.Drawing.11" ShapeID="_x0000_i1026" DrawAspect="Content" ObjectID="_1603282336" r:id="rId20"/>
        </w:object>
      </w:r>
    </w:p>
    <w:p w14:paraId="130F8134" w14:textId="3D77735E" w:rsidR="00E04F6D" w:rsidRPr="002108FA" w:rsidRDefault="00E04F6D" w:rsidP="00E04F6D">
      <w:pPr>
        <w:pStyle w:val="Caption"/>
      </w:pPr>
      <w:bookmarkStart w:id="13" w:name="_Ref484093021"/>
      <w:bookmarkStart w:id="14" w:name="_Ref484093014"/>
      <w:r w:rsidRPr="002108FA">
        <w:t xml:space="preserve">Figure </w:t>
      </w:r>
      <w:r w:rsidR="00964BE7" w:rsidRPr="00F53A0E">
        <w:fldChar w:fldCharType="begin"/>
      </w:r>
      <w:r w:rsidR="00964BE7" w:rsidRPr="002108FA">
        <w:instrText xml:space="preserve"> SEQ Figure \* ARABIC </w:instrText>
      </w:r>
      <w:r w:rsidR="00964BE7" w:rsidRPr="00F53A0E">
        <w:fldChar w:fldCharType="separate"/>
      </w:r>
      <w:r w:rsidR="006D18FB">
        <w:rPr>
          <w:noProof/>
        </w:rPr>
        <w:t>5</w:t>
      </w:r>
      <w:r w:rsidR="00964BE7" w:rsidRPr="00F53A0E">
        <w:rPr>
          <w:noProof/>
        </w:rPr>
        <w:fldChar w:fldCharType="end"/>
      </w:r>
      <w:bookmarkEnd w:id="13"/>
      <w:r w:rsidRPr="002108FA">
        <w:t xml:space="preserve"> Central approach</w:t>
      </w:r>
      <w:bookmarkEnd w:id="14"/>
    </w:p>
    <w:p w14:paraId="4B858EE0" w14:textId="510779B2" w:rsidR="00E04F6D" w:rsidRPr="002108FA" w:rsidRDefault="00E04F6D" w:rsidP="00E04F6D">
      <w:r w:rsidRPr="002108FA">
        <w:t xml:space="preserve">All the information (single and </w:t>
      </w:r>
      <w:proofErr w:type="gramStart"/>
      <w:r w:rsidRPr="002108FA">
        <w:t>multi-MS</w:t>
      </w:r>
      <w:proofErr w:type="gramEnd"/>
      <w:r w:rsidRPr="002108FA">
        <w:t xml:space="preserve"> decisions) is copied to CRS and is accessible to the external services and applications that would require the authorisations (when granted). </w:t>
      </w:r>
    </w:p>
    <w:p w14:paraId="5DC702DC" w14:textId="6F947C16" w:rsidR="00E04F6D" w:rsidRPr="002108FA" w:rsidRDefault="00E04F6D" w:rsidP="00315103">
      <w:pPr>
        <w:pStyle w:val="Heading4"/>
      </w:pPr>
      <w:r w:rsidRPr="002108FA">
        <w:t xml:space="preserve">Strategy 2: </w:t>
      </w:r>
      <w:r w:rsidR="00CF4F03" w:rsidRPr="002108FA">
        <w:t xml:space="preserve">Central and </w:t>
      </w:r>
      <w:r w:rsidRPr="002108FA">
        <w:t>National CDMS</w:t>
      </w:r>
    </w:p>
    <w:p w14:paraId="36C5A9CF" w14:textId="4968BFB6" w:rsidR="00E04F6D" w:rsidRPr="002108FA" w:rsidRDefault="00E04F6D" w:rsidP="00E04F6D">
      <w:r w:rsidRPr="002108FA">
        <w:t>When a MS has its own CDMS</w:t>
      </w:r>
      <w:r w:rsidR="00937F8A" w:rsidRPr="002108FA">
        <w:t xml:space="preserve"> and TP applications and when it decides to follow the “Central and National CDMS” approach</w:t>
      </w:r>
      <w:r w:rsidRPr="002108FA">
        <w:t xml:space="preserve">, the </w:t>
      </w:r>
      <w:r w:rsidR="00937F8A" w:rsidRPr="002108FA">
        <w:t xml:space="preserve">application must be lodged in the national TP and the </w:t>
      </w:r>
      <w:r w:rsidRPr="002108FA">
        <w:t xml:space="preserve">authorisation </w:t>
      </w:r>
      <w:r w:rsidR="00E76028" w:rsidRPr="002108FA">
        <w:t xml:space="preserve">must </w:t>
      </w:r>
      <w:r w:rsidRPr="002108FA">
        <w:t xml:space="preserve">be managed in the national CDMS only </w:t>
      </w:r>
      <w:r w:rsidR="00111D2C" w:rsidRPr="002108FA">
        <w:t>in case</w:t>
      </w:r>
      <w:r w:rsidRPr="002108FA">
        <w:t xml:space="preserve"> the authorisation is aimed to be single-MS</w:t>
      </w:r>
      <w:r w:rsidR="00E76028" w:rsidRPr="002108FA">
        <w:t xml:space="preserve"> </w:t>
      </w:r>
      <w:r w:rsidRPr="002108FA">
        <w:t>(</w:t>
      </w:r>
      <w:r w:rsidR="00E76028" w:rsidRPr="002108FA">
        <w:t xml:space="preserve">the </w:t>
      </w:r>
      <w:r w:rsidRPr="002108FA">
        <w:t xml:space="preserve">decision is </w:t>
      </w:r>
      <w:r w:rsidR="00E76028" w:rsidRPr="002108FA">
        <w:t xml:space="preserve">thus </w:t>
      </w:r>
      <w:r w:rsidRPr="002108FA">
        <w:t>not published in CRS).</w:t>
      </w:r>
    </w:p>
    <w:p w14:paraId="72A33B0E" w14:textId="5D14D08C" w:rsidR="00CF4F03" w:rsidRPr="002108FA" w:rsidRDefault="00E04F6D" w:rsidP="00E04F6D">
      <w:r w:rsidRPr="002108FA">
        <w:t xml:space="preserve">All </w:t>
      </w:r>
      <w:proofErr w:type="gramStart"/>
      <w:r w:rsidRPr="002108FA">
        <w:t>multi-MS</w:t>
      </w:r>
      <w:proofErr w:type="gramEnd"/>
      <w:r w:rsidRPr="002108FA">
        <w:t xml:space="preserve"> decisions </w:t>
      </w:r>
      <w:r w:rsidR="00E76028" w:rsidRPr="002108FA">
        <w:t xml:space="preserve">must </w:t>
      </w:r>
      <w:r w:rsidRPr="002108FA">
        <w:t>still be submitted to the EU TP only</w:t>
      </w:r>
      <w:r w:rsidR="00E76028" w:rsidRPr="002108FA">
        <w:t xml:space="preserve">. The </w:t>
      </w:r>
      <w:r w:rsidR="000C0114" w:rsidRPr="002108FA">
        <w:t xml:space="preserve">same approach as for the </w:t>
      </w:r>
      <w:r w:rsidR="00E76028" w:rsidRPr="002108FA">
        <w:t>“Central Approach” strategy thus applie</w:t>
      </w:r>
      <w:r w:rsidR="00EE482D" w:rsidRPr="002108FA">
        <w:t>s</w:t>
      </w:r>
      <w:r w:rsidRPr="002108FA">
        <w:t xml:space="preserve">. </w:t>
      </w:r>
    </w:p>
    <w:p w14:paraId="581035A7" w14:textId="2DBE7A09" w:rsidR="00E04F6D" w:rsidRPr="002108FA" w:rsidRDefault="00E04F6D" w:rsidP="00E04F6D">
      <w:r w:rsidRPr="002108FA">
        <w:t xml:space="preserve">The </w:t>
      </w:r>
      <w:r w:rsidR="000C0114" w:rsidRPr="002108FA">
        <w:t>“C</w:t>
      </w:r>
      <w:r w:rsidR="00CF4F03" w:rsidRPr="002108FA">
        <w:t xml:space="preserve">entral and </w:t>
      </w:r>
      <w:r w:rsidR="000C0114" w:rsidRPr="002108FA">
        <w:t xml:space="preserve">National CDMS” </w:t>
      </w:r>
      <w:r w:rsidR="002919F8" w:rsidRPr="002108FA">
        <w:t>approach</w:t>
      </w:r>
      <w:r w:rsidRPr="002108FA">
        <w:t xml:space="preserve"> is depicted in</w:t>
      </w:r>
      <w:r w:rsidR="00937F8A" w:rsidRPr="002108FA">
        <w:t xml:space="preserve"> </w:t>
      </w:r>
      <w:r w:rsidR="00CF4F03" w:rsidRPr="00AC44B1">
        <w:fldChar w:fldCharType="begin"/>
      </w:r>
      <w:r w:rsidR="00CF4F03" w:rsidRPr="002108FA">
        <w:instrText xml:space="preserve"> REF _Ref485908678 \h </w:instrText>
      </w:r>
      <w:r w:rsidR="00CF4F03" w:rsidRPr="00AC44B1">
        <w:fldChar w:fldCharType="separate"/>
      </w:r>
      <w:r w:rsidR="006D18FB" w:rsidRPr="002108FA">
        <w:t xml:space="preserve">Figure </w:t>
      </w:r>
      <w:r w:rsidR="006D18FB">
        <w:rPr>
          <w:noProof/>
        </w:rPr>
        <w:t>6</w:t>
      </w:r>
      <w:r w:rsidR="00CF4F03" w:rsidRPr="00AC44B1">
        <w:fldChar w:fldCharType="end"/>
      </w:r>
      <w:r w:rsidRPr="002108FA">
        <w:t>.</w:t>
      </w:r>
    </w:p>
    <w:p w14:paraId="3215CC64" w14:textId="77777777" w:rsidR="00CF4F03" w:rsidRPr="00DE58D4" w:rsidRDefault="00CF4F03" w:rsidP="00111D2C">
      <w:pPr>
        <w:keepNext/>
      </w:pPr>
      <w:r w:rsidRPr="00DE58D4">
        <w:rPr>
          <w:noProof/>
          <w:lang w:eastAsia="en-GB"/>
        </w:rPr>
        <w:drawing>
          <wp:inline distT="0" distB="0" distL="0" distR="0" wp14:anchorId="5170A268" wp14:editId="6E24FA39">
            <wp:extent cx="5760720" cy="3197323"/>
            <wp:effectExtent l="0" t="0" r="0" b="3175"/>
            <wp:docPr id="7" name="Picture 2" descr="C:\Users\cunhapa\AppData\Local\Microsoft\Windows\Temporary Internet Files\Content.Outlook\2HS4C8OD\HighLevelIT_national_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cunhapa\AppData\Local\Microsoft\Windows\Temporary Internet Files\Content.Outlook\2HS4C8OD\HighLevelIT_national_Cen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197323"/>
                    </a:xfrm>
                    <a:prstGeom prst="rect">
                      <a:avLst/>
                    </a:prstGeom>
                    <a:noFill/>
                    <a:extLst/>
                  </pic:spPr>
                </pic:pic>
              </a:graphicData>
            </a:graphic>
          </wp:inline>
        </w:drawing>
      </w:r>
    </w:p>
    <w:p w14:paraId="3E67FE2F" w14:textId="5407DBA3" w:rsidR="00CF4F03" w:rsidRPr="002108FA" w:rsidRDefault="00CF4F03" w:rsidP="00CF4F03">
      <w:pPr>
        <w:pStyle w:val="Caption"/>
      </w:pPr>
      <w:bookmarkStart w:id="15" w:name="_Ref485908678"/>
      <w:r w:rsidRPr="002108FA">
        <w:t xml:space="preserve">Figure </w:t>
      </w:r>
      <w:r w:rsidR="00964BE7" w:rsidRPr="00F53A0E">
        <w:fldChar w:fldCharType="begin"/>
      </w:r>
      <w:r w:rsidR="00964BE7" w:rsidRPr="002108FA">
        <w:instrText xml:space="preserve"> SEQ Figure \* ARABIC </w:instrText>
      </w:r>
      <w:r w:rsidR="00964BE7" w:rsidRPr="00F53A0E">
        <w:fldChar w:fldCharType="separate"/>
      </w:r>
      <w:r w:rsidR="006D18FB">
        <w:rPr>
          <w:noProof/>
        </w:rPr>
        <w:t>6</w:t>
      </w:r>
      <w:r w:rsidR="00964BE7" w:rsidRPr="00F53A0E">
        <w:rPr>
          <w:noProof/>
        </w:rPr>
        <w:fldChar w:fldCharType="end"/>
      </w:r>
      <w:bookmarkEnd w:id="15"/>
      <w:r w:rsidRPr="002108FA">
        <w:t xml:space="preserve"> Central and National CDMS</w:t>
      </w:r>
    </w:p>
    <w:p w14:paraId="3D7BEFB8" w14:textId="74FAB29B" w:rsidR="00E04F6D" w:rsidRPr="002108FA" w:rsidRDefault="00E04F6D" w:rsidP="00315103">
      <w:pPr>
        <w:pStyle w:val="Heading4"/>
      </w:pPr>
      <w:r w:rsidRPr="002108FA">
        <w:t xml:space="preserve">Strategy 3: Hybrid </w:t>
      </w:r>
      <w:r w:rsidR="00EE482D" w:rsidRPr="002108FA">
        <w:t>Approach</w:t>
      </w:r>
    </w:p>
    <w:p w14:paraId="0BB400F5" w14:textId="1F2D578F" w:rsidR="008B4804" w:rsidRPr="002108FA" w:rsidRDefault="00E04F6D" w:rsidP="008B4804">
      <w:pPr>
        <w:keepNext/>
      </w:pPr>
      <w:r w:rsidRPr="002108FA">
        <w:t>I</w:t>
      </w:r>
      <w:r w:rsidR="00191E86">
        <w:t xml:space="preserve">f the </w:t>
      </w:r>
      <w:r w:rsidRPr="002108FA">
        <w:t>MS opts for a hybrid approach, the economic operat</w:t>
      </w:r>
      <w:r w:rsidR="00657F71" w:rsidRPr="002108FA">
        <w:t>or is free to choose whether he</w:t>
      </w:r>
      <w:r w:rsidRPr="002108FA">
        <w:t xml:space="preserve"> will apply through the national TP or via the EU TP. In both cases, the </w:t>
      </w:r>
      <w:r w:rsidR="00761927" w:rsidRPr="002108FA">
        <w:t xml:space="preserve">Trader Portal </w:t>
      </w:r>
      <w:r w:rsidRPr="002108FA">
        <w:t>will communicate directly, and only, with the national CDMS. The hybrid approach is depicted in</w:t>
      </w:r>
      <w:r w:rsidR="00E76028" w:rsidRPr="002108FA">
        <w:t xml:space="preserve"> </w:t>
      </w:r>
      <w:r w:rsidR="00E76028" w:rsidRPr="00AC44B1">
        <w:fldChar w:fldCharType="begin"/>
      </w:r>
      <w:r w:rsidR="00E76028" w:rsidRPr="002108FA">
        <w:instrText xml:space="preserve"> REF _Ref482622408 \h </w:instrText>
      </w:r>
      <w:r w:rsidR="00E76028" w:rsidRPr="00AC44B1">
        <w:fldChar w:fldCharType="separate"/>
      </w:r>
      <w:r w:rsidR="006D18FB" w:rsidRPr="002108FA">
        <w:rPr>
          <w:i/>
        </w:rPr>
        <w:t xml:space="preserve">Figure </w:t>
      </w:r>
      <w:r w:rsidR="006D18FB">
        <w:rPr>
          <w:i/>
          <w:noProof/>
        </w:rPr>
        <w:t>7</w:t>
      </w:r>
      <w:r w:rsidR="00E76028" w:rsidRPr="00AC44B1">
        <w:fldChar w:fldCharType="end"/>
      </w:r>
      <w:r w:rsidRPr="002108FA">
        <w:t>.</w:t>
      </w:r>
    </w:p>
    <w:p w14:paraId="5433E870" w14:textId="2FDC13C7" w:rsidR="00E04F6D" w:rsidRPr="002108FA" w:rsidRDefault="00113362" w:rsidP="008B4804">
      <w:pPr>
        <w:keepNext/>
        <w:jc w:val="center"/>
      </w:pPr>
      <w:r w:rsidRPr="00F53A0E">
        <w:object w:dxaOrig="19112" w:dyaOrig="10837" w14:anchorId="110B44DD">
          <v:shape id="_x0000_i1027" type="#_x0000_t75" style="width:462.75pt;height:262.5pt" o:ole="">
            <v:imagedata r:id="rId22" o:title=""/>
          </v:shape>
          <o:OLEObject Type="Embed" ProgID="Visio.Drawing.11" ShapeID="_x0000_i1027" DrawAspect="Content" ObjectID="_1603282337" r:id="rId23"/>
        </w:object>
      </w:r>
      <w:r w:rsidRPr="002108FA">
        <w:t xml:space="preserve"> </w:t>
      </w:r>
      <w:bookmarkStart w:id="16" w:name="_Ref482622408"/>
      <w:r w:rsidR="00E04F6D" w:rsidRPr="002108FA">
        <w:rPr>
          <w:i/>
        </w:rPr>
        <w:t xml:space="preserve">Figure </w:t>
      </w:r>
      <w:r w:rsidR="009B38D9" w:rsidRPr="00F53A0E">
        <w:rPr>
          <w:i/>
        </w:rPr>
        <w:fldChar w:fldCharType="begin"/>
      </w:r>
      <w:r w:rsidR="009B38D9" w:rsidRPr="002108FA">
        <w:rPr>
          <w:i/>
        </w:rPr>
        <w:instrText xml:space="preserve"> SEQ Figure \* ARABIC </w:instrText>
      </w:r>
      <w:r w:rsidR="009B38D9" w:rsidRPr="00F53A0E">
        <w:rPr>
          <w:i/>
        </w:rPr>
        <w:fldChar w:fldCharType="separate"/>
      </w:r>
      <w:r w:rsidR="006D18FB">
        <w:rPr>
          <w:i/>
          <w:noProof/>
        </w:rPr>
        <w:t>7</w:t>
      </w:r>
      <w:r w:rsidR="009B38D9" w:rsidRPr="00F53A0E">
        <w:rPr>
          <w:i/>
          <w:noProof/>
        </w:rPr>
        <w:fldChar w:fldCharType="end"/>
      </w:r>
      <w:bookmarkEnd w:id="16"/>
      <w:r w:rsidR="00E04F6D" w:rsidRPr="002108FA">
        <w:rPr>
          <w:i/>
        </w:rPr>
        <w:t xml:space="preserve"> Hybrid approach</w:t>
      </w:r>
    </w:p>
    <w:p w14:paraId="6668F8D6" w14:textId="77777777" w:rsidR="00E04F6D" w:rsidRPr="002108FA" w:rsidRDefault="00E04F6D" w:rsidP="00E04F6D">
      <w:r w:rsidRPr="002108FA">
        <w:t>For single-MS decision, it is up to the MS to decide what TP is to be used. Furthermore, the MS decides whether the decisions are to be published to CRS or not.</w:t>
      </w:r>
    </w:p>
    <w:p w14:paraId="641F1603" w14:textId="77777777" w:rsidR="00E04F6D" w:rsidRPr="002108FA" w:rsidRDefault="00E04F6D" w:rsidP="00E04F6D">
      <w:r w:rsidRPr="002108FA">
        <w:t xml:space="preserve">For </w:t>
      </w:r>
      <w:proofErr w:type="gramStart"/>
      <w:r w:rsidRPr="002108FA">
        <w:t>multi-MS</w:t>
      </w:r>
      <w:proofErr w:type="gramEnd"/>
      <w:r w:rsidRPr="002108FA">
        <w:t xml:space="preserve"> decision, the EU TP is to be used.</w:t>
      </w:r>
    </w:p>
    <w:p w14:paraId="179C5CFD" w14:textId="77777777" w:rsidR="00E04F6D" w:rsidRPr="002108FA" w:rsidRDefault="00E04F6D" w:rsidP="00E04F6D">
      <w:r w:rsidRPr="002108FA">
        <w:t>The national CDMS then communicates with the central CDMS via its CNP module.</w:t>
      </w:r>
    </w:p>
    <w:p w14:paraId="3862EE37" w14:textId="0E6BB28E" w:rsidR="00E04F6D" w:rsidRPr="002108FA" w:rsidRDefault="00E04F6D" w:rsidP="00E04F6D">
      <w:r w:rsidRPr="002108FA">
        <w:t xml:space="preserve">It must be noted that </w:t>
      </w:r>
      <w:r w:rsidR="00E76028" w:rsidRPr="002108FA">
        <w:t xml:space="preserve">a </w:t>
      </w:r>
      <w:r w:rsidRPr="002108FA">
        <w:t>MS using the hybrid approach must use it for all customs decisions. In addition, all communications related to a given decision must be handled via the same portal.</w:t>
      </w:r>
    </w:p>
    <w:p w14:paraId="38F79B1F" w14:textId="77777777" w:rsidR="004E7545" w:rsidRPr="002108FA" w:rsidRDefault="004E7545" w:rsidP="006D4191">
      <w:pPr>
        <w:pStyle w:val="Heading3"/>
      </w:pPr>
      <w:r w:rsidRPr="002108FA">
        <w:t>Examples</w:t>
      </w:r>
    </w:p>
    <w:p w14:paraId="0E06BB13" w14:textId="3866EBF5" w:rsidR="004E7545" w:rsidRPr="002108FA" w:rsidRDefault="004E7545" w:rsidP="004E7545">
      <w:r w:rsidRPr="002108FA">
        <w:t>Here below are listed some situations on how the actors co</w:t>
      </w:r>
      <w:r w:rsidR="003C2EF2" w:rsidRPr="002108FA">
        <w:t>uld interact with the IT system:</w:t>
      </w:r>
    </w:p>
    <w:p w14:paraId="333978D7" w14:textId="4E0467C0" w:rsidR="004E7545" w:rsidRPr="002108FA" w:rsidRDefault="004E7545" w:rsidP="004E7545">
      <w:pPr>
        <w:pStyle w:val="ListParagraph"/>
        <w:numPr>
          <w:ilvl w:val="0"/>
          <w:numId w:val="50"/>
        </w:numPr>
      </w:pPr>
      <w:r w:rsidRPr="002108FA">
        <w:t xml:space="preserve">As an economic operator of Portugal, desiring a </w:t>
      </w:r>
      <w:proofErr w:type="gramStart"/>
      <w:r w:rsidRPr="002108FA">
        <w:t>multi-MS</w:t>
      </w:r>
      <w:proofErr w:type="gramEnd"/>
      <w:r w:rsidRPr="002108FA">
        <w:t xml:space="preserve"> decision (Portugal is using the central approach). I fill in the application in EU TP. The PT </w:t>
      </w:r>
      <w:r w:rsidR="00EE482D" w:rsidRPr="002108FA">
        <w:t>c</w:t>
      </w:r>
      <w:r w:rsidRPr="002108FA">
        <w:t xml:space="preserve">ustoms </w:t>
      </w:r>
      <w:r w:rsidR="00EE482D" w:rsidRPr="002108FA">
        <w:t>o</w:t>
      </w:r>
      <w:r w:rsidRPr="002108FA">
        <w:t>fficer will manage the application in the central CDMS. The authorisation will be published in CRS.</w:t>
      </w:r>
    </w:p>
    <w:p w14:paraId="578B8912" w14:textId="74380277" w:rsidR="004E7545" w:rsidRPr="002108FA" w:rsidRDefault="004E7545" w:rsidP="004E7545">
      <w:pPr>
        <w:pStyle w:val="ListParagraph"/>
        <w:numPr>
          <w:ilvl w:val="0"/>
          <w:numId w:val="50"/>
        </w:numPr>
      </w:pPr>
      <w:r w:rsidRPr="002108FA">
        <w:t xml:space="preserve">As an economic operator of Portugal, desiring a single-MS decision (Portugal is using the central approach). I fill in the application in EU TP. The PT </w:t>
      </w:r>
      <w:r w:rsidR="00EE482D" w:rsidRPr="002108FA">
        <w:t>c</w:t>
      </w:r>
      <w:r w:rsidRPr="002108FA">
        <w:t xml:space="preserve">ustoms </w:t>
      </w:r>
      <w:r w:rsidR="00EE482D" w:rsidRPr="002108FA">
        <w:t>o</w:t>
      </w:r>
      <w:r w:rsidRPr="002108FA">
        <w:t>fficer will manage the application in the central CDMS. The authorisation will be published in CRS.</w:t>
      </w:r>
    </w:p>
    <w:p w14:paraId="3659869E" w14:textId="63EA9EE9" w:rsidR="004E7545" w:rsidRPr="002108FA" w:rsidRDefault="004E7545" w:rsidP="004E7545">
      <w:pPr>
        <w:pStyle w:val="ListParagraph"/>
        <w:numPr>
          <w:ilvl w:val="0"/>
          <w:numId w:val="50"/>
        </w:numPr>
      </w:pPr>
      <w:r w:rsidRPr="002108FA">
        <w:t xml:space="preserve">As an economic operator of Germany, desiring a </w:t>
      </w:r>
      <w:proofErr w:type="gramStart"/>
      <w:r w:rsidRPr="002108FA">
        <w:t>multi-MS</w:t>
      </w:r>
      <w:proofErr w:type="gramEnd"/>
      <w:r w:rsidRPr="002108FA">
        <w:t xml:space="preserve"> decision (Germany is using the </w:t>
      </w:r>
      <w:r w:rsidR="002D38E7" w:rsidRPr="002108FA">
        <w:t>central approach for multi-MS decision</w:t>
      </w:r>
      <w:r w:rsidRPr="002108FA">
        <w:t xml:space="preserve">). I fill in the application in EU TP. The DE </w:t>
      </w:r>
      <w:r w:rsidR="00EE482D" w:rsidRPr="002108FA">
        <w:t>c</w:t>
      </w:r>
      <w:r w:rsidRPr="002108FA">
        <w:t xml:space="preserve">ustoms </w:t>
      </w:r>
      <w:r w:rsidR="00EE482D" w:rsidRPr="002108FA">
        <w:t>o</w:t>
      </w:r>
      <w:r w:rsidRPr="002108FA">
        <w:t>fficer will manage the application in the central CDMS. The authorisation will be published in CRS.</w:t>
      </w:r>
    </w:p>
    <w:p w14:paraId="211EBC86" w14:textId="69381BC8" w:rsidR="004E7545" w:rsidRPr="002108FA" w:rsidRDefault="004E7545" w:rsidP="004E7545">
      <w:pPr>
        <w:pStyle w:val="ListParagraph"/>
        <w:numPr>
          <w:ilvl w:val="0"/>
          <w:numId w:val="50"/>
        </w:numPr>
      </w:pPr>
      <w:r w:rsidRPr="002108FA">
        <w:t>As an economic operator of Germany, desiring a single-MS decision (Germany is using the national approach</w:t>
      </w:r>
      <w:r w:rsidR="002D38E7" w:rsidRPr="002108FA">
        <w:t xml:space="preserve"> for single-MS decision</w:t>
      </w:r>
      <w:r w:rsidRPr="002108FA">
        <w:t xml:space="preserve">). I fill in the application in National TP. The DE </w:t>
      </w:r>
      <w:r w:rsidR="00EE482D" w:rsidRPr="002108FA">
        <w:t>c</w:t>
      </w:r>
      <w:r w:rsidRPr="002108FA">
        <w:t xml:space="preserve">ustoms </w:t>
      </w:r>
      <w:r w:rsidR="00EE482D" w:rsidRPr="002108FA">
        <w:t>o</w:t>
      </w:r>
      <w:r w:rsidRPr="002108FA">
        <w:t>fficer will manage the application in the national CDMS. The authorisation will not be published in CRS.</w:t>
      </w:r>
    </w:p>
    <w:p w14:paraId="4DB524DF" w14:textId="487F58B7" w:rsidR="004E7545" w:rsidRDefault="004E7545" w:rsidP="004E7545">
      <w:pPr>
        <w:pStyle w:val="ListParagraph"/>
        <w:numPr>
          <w:ilvl w:val="0"/>
          <w:numId w:val="50"/>
        </w:numPr>
      </w:pPr>
      <w:r w:rsidRPr="002108FA">
        <w:t xml:space="preserve">As an economic operator of France, desiring a </w:t>
      </w:r>
      <w:proofErr w:type="gramStart"/>
      <w:r w:rsidRPr="002108FA">
        <w:t>multi-MS</w:t>
      </w:r>
      <w:proofErr w:type="gramEnd"/>
      <w:r w:rsidRPr="002108FA">
        <w:t xml:space="preserve"> decision (France is using the hybrid approach). I fill in the application in the national TP or in the EU TP. The FR </w:t>
      </w:r>
      <w:r w:rsidR="00EE482D" w:rsidRPr="002108FA">
        <w:t>c</w:t>
      </w:r>
      <w:r w:rsidRPr="002108FA">
        <w:t xml:space="preserve">ustoms </w:t>
      </w:r>
      <w:r w:rsidR="00EE482D" w:rsidRPr="002108FA">
        <w:t>o</w:t>
      </w:r>
      <w:r w:rsidRPr="002108FA">
        <w:t>fficer will manage the application in the national CDMS. The authorisation will be published in CRS.</w:t>
      </w:r>
    </w:p>
    <w:p w14:paraId="587B4057" w14:textId="4DD16B76" w:rsidR="00E24FFB" w:rsidRPr="002108FA" w:rsidRDefault="00E24FFB" w:rsidP="00E03D1E">
      <w:r>
        <w:t xml:space="preserve">The full list of choices made by Member States is accessible on DG TAXUD website: </w:t>
      </w:r>
      <w:hyperlink r:id="rId24" w:history="1">
        <w:r w:rsidRPr="00E40A51">
          <w:rPr>
            <w:rStyle w:val="Hyperlink"/>
          </w:rPr>
          <w:t>https://ec.europa.eu/taxation_customs/business/customs-procedures/customs-decisions_en</w:t>
        </w:r>
      </w:hyperlink>
      <w:r>
        <w:t>.</w:t>
      </w:r>
    </w:p>
    <w:p w14:paraId="6D5B39D9" w14:textId="396EB79B" w:rsidR="00FF71F2" w:rsidRPr="002108FA" w:rsidRDefault="00FF71F2" w:rsidP="006D4191">
      <w:pPr>
        <w:pStyle w:val="Heading3"/>
      </w:pPr>
      <w:r w:rsidRPr="002108FA">
        <w:t>How to access the applications?</w:t>
      </w:r>
    </w:p>
    <w:p w14:paraId="768EF9AB" w14:textId="660D18D8" w:rsidR="00FF71F2" w:rsidRPr="002108FA" w:rsidRDefault="00FF71F2" w:rsidP="006D4191">
      <w:pPr>
        <w:pStyle w:val="Heading4"/>
      </w:pPr>
      <w:r w:rsidRPr="002108FA">
        <w:t>Central CDMS</w:t>
      </w:r>
    </w:p>
    <w:p w14:paraId="1F105E7D" w14:textId="54A4D856" w:rsidR="00FF71F2" w:rsidRPr="002108FA" w:rsidRDefault="00FF71F2" w:rsidP="006D4191">
      <w:bookmarkStart w:id="17" w:name="_Hlk480387162"/>
      <w:r w:rsidRPr="002108FA">
        <w:t xml:space="preserve">Customs </w:t>
      </w:r>
      <w:r w:rsidR="00EE482D" w:rsidRPr="002108FA">
        <w:t>o</w:t>
      </w:r>
      <w:r w:rsidRPr="002108FA">
        <w:t xml:space="preserve">fficers must be identified by the CCN2 infrastructure. CCN2 users are linked to a specific </w:t>
      </w:r>
      <w:r w:rsidR="00A82D0A" w:rsidRPr="002108FA">
        <w:t>m</w:t>
      </w:r>
      <w:r w:rsidRPr="002108FA">
        <w:t xml:space="preserve">ember </w:t>
      </w:r>
      <w:r w:rsidR="00A82D0A" w:rsidRPr="002108FA">
        <w:t>s</w:t>
      </w:r>
      <w:r w:rsidRPr="002108FA">
        <w:t xml:space="preserve">tate. The identification of users and the assignment of their user roles are under the responsibility of corresponding </w:t>
      </w:r>
      <w:r w:rsidR="00A82D0A" w:rsidRPr="002108FA">
        <w:t>m</w:t>
      </w:r>
      <w:r w:rsidRPr="002108FA">
        <w:t xml:space="preserve">ember </w:t>
      </w:r>
      <w:r w:rsidR="00A82D0A" w:rsidRPr="002108FA">
        <w:t>s</w:t>
      </w:r>
      <w:r w:rsidRPr="002108FA">
        <w:t xml:space="preserve">tate using the CCN2 tools. Customs </w:t>
      </w:r>
      <w:r w:rsidR="00EE482D" w:rsidRPr="002108FA">
        <w:t>o</w:t>
      </w:r>
      <w:r w:rsidRPr="002108FA">
        <w:t>fficers will access the CDMS IT application user interface via CCN2.</w:t>
      </w:r>
    </w:p>
    <w:p w14:paraId="52059675" w14:textId="01398208" w:rsidR="00FF71F2" w:rsidRPr="002108FA" w:rsidRDefault="00FF71F2" w:rsidP="006D4191">
      <w:r w:rsidRPr="002108FA">
        <w:t xml:space="preserve">Customs </w:t>
      </w:r>
      <w:r w:rsidR="00EE482D" w:rsidRPr="002108FA">
        <w:t>o</w:t>
      </w:r>
      <w:r w:rsidRPr="002108FA">
        <w:t xml:space="preserve">fficers can only </w:t>
      </w:r>
      <w:proofErr w:type="gramStart"/>
      <w:r w:rsidRPr="002108FA">
        <w:t>query,</w:t>
      </w:r>
      <w:proofErr w:type="gramEnd"/>
      <w:r w:rsidRPr="002108FA">
        <w:t xml:space="preserve"> consult and/or modify information related to the applications, authorisations and consultations for which their </w:t>
      </w:r>
      <w:r w:rsidR="00A82D0A" w:rsidRPr="002108FA">
        <w:t>m</w:t>
      </w:r>
      <w:r w:rsidRPr="002108FA">
        <w:t xml:space="preserve">ember </w:t>
      </w:r>
      <w:r w:rsidR="00A82D0A" w:rsidRPr="002108FA">
        <w:t>s</w:t>
      </w:r>
      <w:r w:rsidRPr="002108FA">
        <w:t>tate is respectively involved, consulted or DTCA. They will also receive notifications in the Customs Officer User Interface related to these applications, authorisations and consultations.</w:t>
      </w:r>
    </w:p>
    <w:p w14:paraId="3B69F76C" w14:textId="1792D757" w:rsidR="00FF71F2" w:rsidRPr="002108FA" w:rsidRDefault="00FF71F2" w:rsidP="006D4191">
      <w:r w:rsidRPr="002108FA">
        <w:t xml:space="preserve">Access control to application functionalities is further authorised based on their user roles. User roles are defined based on the organisation services and authorise access to the functionalities required for the execution of the required IT tasks. A user role provides authorisation for all information owned by the </w:t>
      </w:r>
      <w:r w:rsidR="00EE482D" w:rsidRPr="002108FA">
        <w:t>c</w:t>
      </w:r>
      <w:r w:rsidRPr="002108FA">
        <w:t xml:space="preserve">ustoms </w:t>
      </w:r>
      <w:r w:rsidR="00EE482D" w:rsidRPr="002108FA">
        <w:t>o</w:t>
      </w:r>
      <w:r w:rsidRPr="002108FA">
        <w:t xml:space="preserve">fficer’s </w:t>
      </w:r>
      <w:r w:rsidR="00A82D0A" w:rsidRPr="002108FA">
        <w:t>m</w:t>
      </w:r>
      <w:r w:rsidRPr="002108FA">
        <w:t xml:space="preserve">ember </w:t>
      </w:r>
      <w:r w:rsidR="00A82D0A" w:rsidRPr="002108FA">
        <w:t>s</w:t>
      </w:r>
      <w:r w:rsidRPr="002108FA">
        <w:t>tate. Additional roles could be granted to provide read-only or modification access to application and authorisation information.</w:t>
      </w:r>
    </w:p>
    <w:p w14:paraId="6B45B9CE" w14:textId="5D5309DC" w:rsidR="00FF71F2" w:rsidRPr="002108FA" w:rsidRDefault="00FF71F2" w:rsidP="006D4191">
      <w:r w:rsidRPr="00AC44B1">
        <w:fldChar w:fldCharType="begin"/>
      </w:r>
      <w:r w:rsidRPr="002108FA">
        <w:instrText xml:space="preserve"> REF _Ref480442576 \h </w:instrText>
      </w:r>
      <w:r w:rsidRPr="00AC44B1">
        <w:fldChar w:fldCharType="separate"/>
      </w:r>
      <w:r w:rsidR="006D18FB" w:rsidRPr="002108FA">
        <w:t xml:space="preserve">Table </w:t>
      </w:r>
      <w:r w:rsidR="006D18FB">
        <w:rPr>
          <w:noProof/>
        </w:rPr>
        <w:t>2</w:t>
      </w:r>
      <w:r w:rsidRPr="00AC44B1">
        <w:fldChar w:fldCharType="end"/>
      </w:r>
      <w:r w:rsidRPr="002108FA">
        <w:t xml:space="preserve"> lists the different roles that are available in CDMS (it is worth noting that security roles are also defined at CCN2 level. There is a one-to-one mapping between the CDMS COUI (Customs Officer User Interface) roles and the CCN2 roles. In both environment</w:t>
      </w:r>
      <w:r w:rsidR="00191E86">
        <w:t>s</w:t>
      </w:r>
      <w:r w:rsidRPr="002108FA">
        <w:t>, the role name is similar</w:t>
      </w:r>
      <w:r w:rsidRPr="002108FA">
        <w:rPr>
          <w:rStyle w:val="FootnoteReference"/>
        </w:rPr>
        <w:footnoteReference w:id="2"/>
      </w:r>
      <w:r w:rsidRPr="002108FA">
        <w:t xml:space="preserve"> and the business description is identical).</w:t>
      </w:r>
    </w:p>
    <w:p w14:paraId="6CF6104A" w14:textId="77777777" w:rsidR="00FF71F2" w:rsidRPr="002108FA" w:rsidRDefault="00FF71F2" w:rsidP="006D4191">
      <w:r w:rsidRPr="002108FA">
        <w:t>One customs officer can be granted several roles.</w:t>
      </w:r>
    </w:p>
    <w:tbl>
      <w:tblPr>
        <w:tblStyle w:val="GridTable5Dark-Accent41"/>
        <w:tblW w:w="0" w:type="auto"/>
        <w:jc w:val="center"/>
        <w:tblLook w:val="0420" w:firstRow="1" w:lastRow="0" w:firstColumn="0" w:lastColumn="0" w:noHBand="0" w:noVBand="1"/>
      </w:tblPr>
      <w:tblGrid>
        <w:gridCol w:w="1835"/>
        <w:gridCol w:w="7453"/>
      </w:tblGrid>
      <w:tr w:rsidR="00FF71F2" w:rsidRPr="002108FA" w14:paraId="7C430F6A" w14:textId="77777777" w:rsidTr="00111D2C">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center"/>
          </w:tcPr>
          <w:p w14:paraId="36DBDBD9" w14:textId="77777777" w:rsidR="00FF71F2" w:rsidRPr="00DE58D4" w:rsidRDefault="00FF71F2" w:rsidP="006D4191">
            <w:pPr>
              <w:jc w:val="left"/>
              <w:rPr>
                <w:szCs w:val="18"/>
              </w:rPr>
            </w:pPr>
            <w:r w:rsidRPr="00DE58D4">
              <w:rPr>
                <w:szCs w:val="18"/>
              </w:rPr>
              <w:t>CDMS Role Name</w:t>
            </w:r>
          </w:p>
        </w:tc>
        <w:tc>
          <w:tcPr>
            <w:tcW w:w="0" w:type="auto"/>
            <w:vAlign w:val="center"/>
          </w:tcPr>
          <w:p w14:paraId="2B8DDC24" w14:textId="77777777" w:rsidR="00FF71F2" w:rsidRPr="002108FA" w:rsidRDefault="00FF71F2" w:rsidP="006D4191">
            <w:pPr>
              <w:jc w:val="left"/>
              <w:rPr>
                <w:szCs w:val="18"/>
              </w:rPr>
            </w:pPr>
            <w:r w:rsidRPr="002108FA">
              <w:rPr>
                <w:szCs w:val="18"/>
              </w:rPr>
              <w:t>Business Description</w:t>
            </w:r>
          </w:p>
        </w:tc>
      </w:tr>
      <w:tr w:rsidR="00FF71F2" w:rsidRPr="002108FA" w14:paraId="66518FA5" w14:textId="77777777" w:rsidTr="00FF71F2">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33B35A82" w14:textId="77777777" w:rsidR="00FF71F2" w:rsidRPr="002108FA" w:rsidRDefault="00FF71F2" w:rsidP="006D4191">
            <w:pPr>
              <w:jc w:val="left"/>
              <w:rPr>
                <w:sz w:val="18"/>
                <w:szCs w:val="18"/>
              </w:rPr>
            </w:pPr>
            <w:r w:rsidRPr="002108FA">
              <w:rPr>
                <w:sz w:val="18"/>
                <w:szCs w:val="18"/>
              </w:rPr>
              <w:t>Consultation</w:t>
            </w:r>
          </w:p>
        </w:tc>
        <w:tc>
          <w:tcPr>
            <w:tcW w:w="0" w:type="auto"/>
            <w:vAlign w:val="center"/>
          </w:tcPr>
          <w:p w14:paraId="02A3F097" w14:textId="77777777" w:rsidR="00FF71F2" w:rsidRPr="002108FA" w:rsidRDefault="00FF71F2" w:rsidP="006D4191">
            <w:pPr>
              <w:jc w:val="left"/>
              <w:rPr>
                <w:rFonts w:cs="Arial"/>
                <w:sz w:val="18"/>
                <w:szCs w:val="18"/>
              </w:rPr>
            </w:pPr>
            <w:r w:rsidRPr="002108FA">
              <w:rPr>
                <w:rFonts w:cs="Arial"/>
                <w:color w:val="000000"/>
                <w:sz w:val="18"/>
                <w:szCs w:val="18"/>
              </w:rPr>
              <w:t>The COUI users must be granted this role to have read-only access on applications/authorisations in the COUI. The user will be able to query and view all types of business data managed in the applications. The COUI users will be limited to view the Consultations assigned to their own DTCA.</w:t>
            </w:r>
          </w:p>
        </w:tc>
      </w:tr>
      <w:tr w:rsidR="00FF71F2" w:rsidRPr="002108FA" w14:paraId="6D96A226" w14:textId="77777777" w:rsidTr="00FF71F2">
        <w:trPr>
          <w:jc w:val="center"/>
        </w:trPr>
        <w:tc>
          <w:tcPr>
            <w:tcW w:w="0" w:type="auto"/>
            <w:vAlign w:val="center"/>
          </w:tcPr>
          <w:p w14:paraId="498F903E" w14:textId="77777777" w:rsidR="00FF71F2" w:rsidRPr="002108FA" w:rsidRDefault="00FF71F2" w:rsidP="006D4191">
            <w:pPr>
              <w:jc w:val="left"/>
              <w:rPr>
                <w:sz w:val="18"/>
                <w:szCs w:val="18"/>
              </w:rPr>
            </w:pPr>
            <w:r w:rsidRPr="002108FA">
              <w:rPr>
                <w:sz w:val="18"/>
                <w:szCs w:val="18"/>
              </w:rPr>
              <w:t>Accept Customs Applications</w:t>
            </w:r>
          </w:p>
        </w:tc>
        <w:tc>
          <w:tcPr>
            <w:tcW w:w="0" w:type="auto"/>
            <w:vAlign w:val="center"/>
          </w:tcPr>
          <w:p w14:paraId="239D88D2" w14:textId="77777777" w:rsidR="00FF71F2" w:rsidRPr="002108FA" w:rsidRDefault="00FF71F2" w:rsidP="006D4191">
            <w:pPr>
              <w:jc w:val="left"/>
              <w:rPr>
                <w:rFonts w:cs="Arial"/>
                <w:sz w:val="18"/>
                <w:szCs w:val="18"/>
              </w:rPr>
            </w:pPr>
            <w:r w:rsidRPr="002108FA">
              <w:rPr>
                <w:rFonts w:cs="Arial"/>
                <w:color w:val="000000"/>
                <w:sz w:val="18"/>
                <w:szCs w:val="18"/>
              </w:rPr>
              <w:t>The COUI users must be granted this role to execute the Accept Application process. This process is initiated upon the receipt of an application form including supplementary documents, if this is required. The COUI users will be authorised to Accept Customs Applications for their own DTCA using the COUI.</w:t>
            </w:r>
          </w:p>
        </w:tc>
      </w:tr>
      <w:tr w:rsidR="00FF71F2" w:rsidRPr="002108FA" w14:paraId="115D251B" w14:textId="77777777" w:rsidTr="00FF71F2">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46D77F0B" w14:textId="77777777" w:rsidR="00FF71F2" w:rsidRPr="002108FA" w:rsidRDefault="00FF71F2" w:rsidP="006D4191">
            <w:pPr>
              <w:jc w:val="left"/>
              <w:rPr>
                <w:sz w:val="18"/>
                <w:szCs w:val="18"/>
              </w:rPr>
            </w:pPr>
            <w:r w:rsidRPr="002108FA">
              <w:rPr>
                <w:sz w:val="18"/>
                <w:szCs w:val="18"/>
              </w:rPr>
              <w:t>Take Customs Decisions</w:t>
            </w:r>
          </w:p>
        </w:tc>
        <w:tc>
          <w:tcPr>
            <w:tcW w:w="0" w:type="auto"/>
            <w:vAlign w:val="center"/>
          </w:tcPr>
          <w:p w14:paraId="5431B0EC" w14:textId="77777777" w:rsidR="00FF71F2" w:rsidRPr="002108FA" w:rsidRDefault="00FF71F2" w:rsidP="006D4191">
            <w:pPr>
              <w:jc w:val="left"/>
              <w:rPr>
                <w:rFonts w:cs="Arial"/>
                <w:sz w:val="18"/>
                <w:szCs w:val="18"/>
              </w:rPr>
            </w:pPr>
            <w:r w:rsidRPr="002108FA">
              <w:rPr>
                <w:rFonts w:cs="Arial"/>
                <w:color w:val="000000"/>
                <w:sz w:val="18"/>
                <w:szCs w:val="18"/>
              </w:rPr>
              <w:t>The COUI users must be granted this role to execute the Take Decision process. This process starts when an application has been accepted during the Accept Application process. The COUI users will be authorised to Take Customs Decisions for their own DTCA using the COUI.</w:t>
            </w:r>
          </w:p>
        </w:tc>
      </w:tr>
      <w:tr w:rsidR="00FF71F2" w:rsidRPr="002108FA" w14:paraId="093C82C9" w14:textId="77777777" w:rsidTr="00FF71F2">
        <w:trPr>
          <w:jc w:val="center"/>
        </w:trPr>
        <w:tc>
          <w:tcPr>
            <w:tcW w:w="0" w:type="auto"/>
            <w:vAlign w:val="center"/>
          </w:tcPr>
          <w:p w14:paraId="3D652858" w14:textId="77777777" w:rsidR="00FF71F2" w:rsidRPr="002108FA" w:rsidRDefault="00FF71F2" w:rsidP="006D4191">
            <w:pPr>
              <w:jc w:val="left"/>
              <w:rPr>
                <w:sz w:val="18"/>
                <w:szCs w:val="18"/>
              </w:rPr>
            </w:pPr>
            <w:r w:rsidRPr="002108FA">
              <w:rPr>
                <w:sz w:val="18"/>
                <w:szCs w:val="18"/>
              </w:rPr>
              <w:t>Re-Assess Customs Authorisations</w:t>
            </w:r>
          </w:p>
        </w:tc>
        <w:tc>
          <w:tcPr>
            <w:tcW w:w="0" w:type="auto"/>
            <w:vAlign w:val="center"/>
          </w:tcPr>
          <w:p w14:paraId="6CC97FE6" w14:textId="2747A1C5" w:rsidR="00FF71F2" w:rsidRPr="002108FA" w:rsidRDefault="00FF71F2" w:rsidP="006D4191">
            <w:pPr>
              <w:jc w:val="left"/>
              <w:rPr>
                <w:rFonts w:cs="Arial"/>
                <w:sz w:val="18"/>
                <w:szCs w:val="18"/>
              </w:rPr>
            </w:pPr>
            <w:r w:rsidRPr="002108FA">
              <w:rPr>
                <w:rFonts w:cs="Arial"/>
                <w:color w:val="000000"/>
                <w:sz w:val="18"/>
                <w:szCs w:val="18"/>
              </w:rPr>
              <w:t xml:space="preserve">The COUI users must be granted this role to execute the Re-assess Decision process. This process starts in the following cases: </w:t>
            </w:r>
            <w:r w:rsidRPr="002108FA">
              <w:rPr>
                <w:rFonts w:cs="Arial"/>
                <w:color w:val="000000"/>
                <w:sz w:val="18"/>
                <w:szCs w:val="18"/>
              </w:rPr>
              <w:br/>
              <w:t>- When information is received from the Holder which may influence the continuation or the content of the decision</w:t>
            </w:r>
            <w:proofErr w:type="gramStart"/>
            <w:r w:rsidRPr="002108FA">
              <w:rPr>
                <w:rFonts w:cs="Arial"/>
                <w:color w:val="000000"/>
                <w:sz w:val="18"/>
                <w:szCs w:val="18"/>
              </w:rPr>
              <w:t>;</w:t>
            </w:r>
            <w:proofErr w:type="gramEnd"/>
            <w:r w:rsidRPr="002108FA">
              <w:rPr>
                <w:rFonts w:cs="Arial"/>
                <w:color w:val="000000"/>
                <w:sz w:val="18"/>
                <w:szCs w:val="18"/>
              </w:rPr>
              <w:br/>
              <w:t xml:space="preserve">- When the </w:t>
            </w:r>
            <w:r w:rsidR="00EE482D" w:rsidRPr="002108FA">
              <w:rPr>
                <w:rFonts w:cs="Arial"/>
                <w:color w:val="000000"/>
                <w:sz w:val="18"/>
                <w:szCs w:val="18"/>
              </w:rPr>
              <w:t>c</w:t>
            </w:r>
            <w:r w:rsidRPr="002108FA">
              <w:rPr>
                <w:rFonts w:cs="Arial"/>
                <w:color w:val="000000"/>
                <w:sz w:val="18"/>
                <w:szCs w:val="18"/>
              </w:rPr>
              <w:t xml:space="preserve">ustoms </w:t>
            </w:r>
            <w:r w:rsidR="00EE482D" w:rsidRPr="002108FA">
              <w:rPr>
                <w:rFonts w:cs="Arial"/>
                <w:color w:val="000000"/>
                <w:sz w:val="18"/>
                <w:szCs w:val="18"/>
              </w:rPr>
              <w:t>o</w:t>
            </w:r>
            <w:r w:rsidRPr="002108FA">
              <w:rPr>
                <w:rFonts w:cs="Arial"/>
                <w:color w:val="000000"/>
                <w:sz w:val="18"/>
                <w:szCs w:val="18"/>
              </w:rPr>
              <w:t>fficer has registered an Intention to Re-asses</w:t>
            </w:r>
            <w:r w:rsidR="00CE605E" w:rsidRPr="002108FA">
              <w:rPr>
                <w:rFonts w:cs="Arial"/>
                <w:color w:val="000000"/>
                <w:sz w:val="18"/>
                <w:szCs w:val="18"/>
              </w:rPr>
              <w:t>s</w:t>
            </w:r>
            <w:r w:rsidRPr="002108FA">
              <w:rPr>
                <w:rFonts w:cs="Arial"/>
                <w:color w:val="000000"/>
                <w:sz w:val="18"/>
                <w:szCs w:val="18"/>
              </w:rPr>
              <w:t>;</w:t>
            </w:r>
            <w:r w:rsidRPr="002108FA">
              <w:rPr>
                <w:rFonts w:cs="Arial"/>
                <w:color w:val="000000"/>
                <w:sz w:val="18"/>
                <w:szCs w:val="18"/>
              </w:rPr>
              <w:br/>
              <w:t>- When information to re-assess the decision is received from another authority.</w:t>
            </w:r>
            <w:r w:rsidRPr="002108FA">
              <w:rPr>
                <w:rFonts w:cs="Arial"/>
                <w:color w:val="000000"/>
                <w:sz w:val="18"/>
                <w:szCs w:val="18"/>
              </w:rPr>
              <w:br/>
              <w:t>The COUI users will be authorised to Re-assess Customs Authorisations for their own DTCA using the COUI.</w:t>
            </w:r>
          </w:p>
        </w:tc>
      </w:tr>
      <w:tr w:rsidR="00FF71F2" w:rsidRPr="002108FA" w14:paraId="520BFA8B" w14:textId="77777777" w:rsidTr="00FF71F2">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7171FF9B" w14:textId="77777777" w:rsidR="00FF71F2" w:rsidRPr="002108FA" w:rsidRDefault="00FF71F2" w:rsidP="006D4191">
            <w:pPr>
              <w:jc w:val="left"/>
              <w:rPr>
                <w:sz w:val="18"/>
                <w:szCs w:val="18"/>
              </w:rPr>
            </w:pPr>
            <w:r w:rsidRPr="002108FA">
              <w:rPr>
                <w:sz w:val="18"/>
                <w:szCs w:val="18"/>
              </w:rPr>
              <w:t>Suspend Customs Authorisations</w:t>
            </w:r>
          </w:p>
        </w:tc>
        <w:tc>
          <w:tcPr>
            <w:tcW w:w="0" w:type="auto"/>
            <w:vAlign w:val="center"/>
          </w:tcPr>
          <w:p w14:paraId="3D67CC0E" w14:textId="58EF0C3E" w:rsidR="00FF71F2" w:rsidRPr="002108FA" w:rsidRDefault="00FF71F2" w:rsidP="006D4191">
            <w:pPr>
              <w:jc w:val="left"/>
              <w:rPr>
                <w:rFonts w:cs="Arial"/>
                <w:sz w:val="18"/>
                <w:szCs w:val="18"/>
              </w:rPr>
            </w:pPr>
            <w:r w:rsidRPr="002108FA">
              <w:rPr>
                <w:rFonts w:cs="Arial"/>
                <w:color w:val="000000"/>
                <w:sz w:val="18"/>
                <w:szCs w:val="18"/>
              </w:rPr>
              <w:t xml:space="preserve">The COUI users must be granted this role to execute the Suspend Decision process. This process starts in the following cases: </w:t>
            </w:r>
            <w:r w:rsidRPr="002108FA">
              <w:rPr>
                <w:rFonts w:cs="Arial"/>
                <w:color w:val="000000"/>
                <w:sz w:val="18"/>
                <w:szCs w:val="18"/>
              </w:rPr>
              <w:br/>
              <w:t>- When Authority has sufficient reasons to believe that th</w:t>
            </w:r>
            <w:r w:rsidR="00366C76">
              <w:rPr>
                <w:rFonts w:cs="Arial"/>
                <w:color w:val="000000"/>
                <w:sz w:val="18"/>
                <w:szCs w:val="18"/>
              </w:rPr>
              <w:t>e</w:t>
            </w:r>
            <w:r w:rsidRPr="002108FA">
              <w:rPr>
                <w:rFonts w:cs="Arial"/>
                <w:color w:val="000000"/>
                <w:sz w:val="18"/>
                <w:szCs w:val="18"/>
              </w:rPr>
              <w:t xml:space="preserve"> decision needs to be revoked</w:t>
            </w:r>
            <w:r w:rsidR="00366C76">
              <w:rPr>
                <w:rFonts w:cs="Arial"/>
                <w:color w:val="000000"/>
                <w:sz w:val="18"/>
                <w:szCs w:val="18"/>
              </w:rPr>
              <w:t>,</w:t>
            </w:r>
            <w:r w:rsidRPr="002108FA">
              <w:rPr>
                <w:rFonts w:cs="Arial"/>
                <w:color w:val="000000"/>
                <w:sz w:val="18"/>
                <w:szCs w:val="18"/>
              </w:rPr>
              <w:t xml:space="preserve"> amended</w:t>
            </w:r>
            <w:r w:rsidR="00366C76">
              <w:rPr>
                <w:rFonts w:cs="Arial"/>
                <w:color w:val="000000"/>
                <w:sz w:val="18"/>
                <w:szCs w:val="18"/>
              </w:rPr>
              <w:t xml:space="preserve"> or annulled</w:t>
            </w:r>
            <w:r w:rsidRPr="002108FA">
              <w:rPr>
                <w:rFonts w:cs="Arial"/>
                <w:color w:val="000000"/>
                <w:sz w:val="18"/>
                <w:szCs w:val="18"/>
              </w:rPr>
              <w:t>;</w:t>
            </w:r>
            <w:r w:rsidRPr="002108FA">
              <w:rPr>
                <w:rFonts w:cs="Arial"/>
                <w:color w:val="000000"/>
                <w:sz w:val="18"/>
                <w:szCs w:val="18"/>
              </w:rPr>
              <w:br/>
              <w:t>- When Re-assessed decision requires the suspension of the decision;</w:t>
            </w:r>
            <w:r w:rsidRPr="002108FA">
              <w:rPr>
                <w:rFonts w:cs="Arial"/>
                <w:color w:val="000000"/>
                <w:sz w:val="18"/>
                <w:szCs w:val="18"/>
              </w:rPr>
              <w:br/>
              <w:t xml:space="preserve">- When the Holder submitted a suspension request with measures and period of time to take these measures, the process will start for the </w:t>
            </w:r>
            <w:r w:rsidR="000448D3" w:rsidRPr="002108FA">
              <w:rPr>
                <w:rFonts w:cs="Arial"/>
                <w:color w:val="000000"/>
                <w:sz w:val="18"/>
                <w:szCs w:val="18"/>
              </w:rPr>
              <w:t>d</w:t>
            </w:r>
            <w:r w:rsidRPr="002108FA">
              <w:rPr>
                <w:rFonts w:cs="Arial"/>
                <w:color w:val="000000"/>
                <w:sz w:val="18"/>
                <w:szCs w:val="18"/>
              </w:rPr>
              <w:t>ecision-</w:t>
            </w:r>
            <w:r w:rsidR="000448D3" w:rsidRPr="002108FA">
              <w:rPr>
                <w:rFonts w:cs="Arial"/>
                <w:color w:val="000000"/>
                <w:sz w:val="18"/>
                <w:szCs w:val="18"/>
              </w:rPr>
              <w:t>t</w:t>
            </w:r>
            <w:r w:rsidRPr="002108FA">
              <w:rPr>
                <w:rFonts w:cs="Arial"/>
                <w:color w:val="000000"/>
                <w:sz w:val="18"/>
                <w:szCs w:val="18"/>
              </w:rPr>
              <w:t xml:space="preserve">aking </w:t>
            </w:r>
            <w:r w:rsidR="000448D3" w:rsidRPr="002108FA">
              <w:rPr>
                <w:rFonts w:cs="Arial"/>
                <w:color w:val="000000"/>
                <w:sz w:val="18"/>
                <w:szCs w:val="18"/>
              </w:rPr>
              <w:t>c</w:t>
            </w:r>
            <w:r w:rsidRPr="002108FA">
              <w:rPr>
                <w:rFonts w:cs="Arial"/>
                <w:color w:val="000000"/>
                <w:sz w:val="18"/>
                <w:szCs w:val="18"/>
              </w:rPr>
              <w:t xml:space="preserve">ustoms </w:t>
            </w:r>
            <w:r w:rsidR="000448D3" w:rsidRPr="002108FA">
              <w:rPr>
                <w:rFonts w:cs="Arial"/>
                <w:color w:val="000000"/>
                <w:sz w:val="18"/>
                <w:szCs w:val="18"/>
              </w:rPr>
              <w:t>a</w:t>
            </w:r>
            <w:r w:rsidRPr="002108FA">
              <w:rPr>
                <w:rFonts w:cs="Arial"/>
                <w:color w:val="000000"/>
                <w:sz w:val="18"/>
                <w:szCs w:val="18"/>
              </w:rPr>
              <w:t>uthority;</w:t>
            </w:r>
            <w:r w:rsidRPr="002108FA">
              <w:rPr>
                <w:rFonts w:cs="Arial"/>
                <w:color w:val="000000"/>
                <w:sz w:val="18"/>
                <w:szCs w:val="18"/>
              </w:rPr>
              <w:br/>
              <w:t>- When Authority considers that fulfilment of the conditions laid down for the decision or compliance with the obligations imposed under that decision may be ensured by measures to be taken by the holder of the decision.</w:t>
            </w:r>
            <w:r w:rsidRPr="002108FA">
              <w:rPr>
                <w:rFonts w:cs="Arial"/>
                <w:color w:val="000000"/>
                <w:sz w:val="18"/>
                <w:szCs w:val="18"/>
              </w:rPr>
              <w:br/>
              <w:t>The COUI users will be authorised to Suspend Customs Authorisations for their own DTCA using the COUI.</w:t>
            </w:r>
          </w:p>
        </w:tc>
      </w:tr>
      <w:tr w:rsidR="00FF71F2" w:rsidRPr="002108FA" w14:paraId="44547714" w14:textId="77777777" w:rsidTr="00FF71F2">
        <w:trPr>
          <w:jc w:val="center"/>
        </w:trPr>
        <w:tc>
          <w:tcPr>
            <w:tcW w:w="0" w:type="auto"/>
            <w:vAlign w:val="center"/>
          </w:tcPr>
          <w:p w14:paraId="30978EF3" w14:textId="77777777" w:rsidR="00FF71F2" w:rsidRPr="002108FA" w:rsidRDefault="00FF71F2" w:rsidP="006D4191">
            <w:pPr>
              <w:jc w:val="left"/>
              <w:rPr>
                <w:sz w:val="18"/>
                <w:szCs w:val="18"/>
              </w:rPr>
            </w:pPr>
            <w:r w:rsidRPr="002108FA">
              <w:rPr>
                <w:sz w:val="18"/>
                <w:szCs w:val="18"/>
              </w:rPr>
              <w:t>End Suspension</w:t>
            </w:r>
          </w:p>
        </w:tc>
        <w:tc>
          <w:tcPr>
            <w:tcW w:w="0" w:type="auto"/>
            <w:vAlign w:val="center"/>
          </w:tcPr>
          <w:p w14:paraId="4153BBB2" w14:textId="59344D6C" w:rsidR="00FF71F2" w:rsidRPr="002108FA" w:rsidRDefault="00FF71F2" w:rsidP="006D4191">
            <w:pPr>
              <w:jc w:val="left"/>
              <w:rPr>
                <w:rFonts w:cs="Arial"/>
                <w:sz w:val="18"/>
                <w:szCs w:val="18"/>
              </w:rPr>
            </w:pPr>
            <w:r w:rsidRPr="002108FA">
              <w:rPr>
                <w:rFonts w:cs="Arial"/>
                <w:color w:val="000000"/>
                <w:sz w:val="18"/>
                <w:szCs w:val="18"/>
              </w:rPr>
              <w:t xml:space="preserve">The COUI users must be granted this role to execute the End Suspension process. This process starts in the following cases: </w:t>
            </w:r>
            <w:r w:rsidRPr="002108FA">
              <w:rPr>
                <w:rFonts w:cs="Arial"/>
                <w:color w:val="000000"/>
                <w:sz w:val="18"/>
                <w:szCs w:val="18"/>
              </w:rPr>
              <w:br/>
              <w:t>- When the time limit to identify conditions for annulment, revocation or amendment expires;</w:t>
            </w:r>
            <w:r w:rsidRPr="002108FA">
              <w:rPr>
                <w:rFonts w:cs="Arial"/>
                <w:color w:val="000000"/>
                <w:sz w:val="18"/>
                <w:szCs w:val="18"/>
              </w:rPr>
              <w:br/>
              <w:t>- When a suspended decision does not fulfil the conditions to be revoked, annulled or amended;</w:t>
            </w:r>
            <w:r w:rsidRPr="002108FA">
              <w:rPr>
                <w:rFonts w:cs="Arial"/>
                <w:color w:val="000000"/>
                <w:sz w:val="18"/>
                <w:szCs w:val="18"/>
              </w:rPr>
              <w:br/>
              <w:t>- When the time limit to establish whether measures fulfil conditions or comply with obligations expires;</w:t>
            </w:r>
            <w:r w:rsidRPr="002108FA">
              <w:rPr>
                <w:rFonts w:cs="Arial"/>
                <w:color w:val="000000"/>
                <w:sz w:val="18"/>
                <w:szCs w:val="18"/>
              </w:rPr>
              <w:br/>
              <w:t>- When the holder has taken, to the satisfaction of the decision</w:t>
            </w:r>
            <w:r w:rsidR="00CF57BD" w:rsidRPr="002108FA">
              <w:rPr>
                <w:rFonts w:cs="Arial"/>
                <w:color w:val="000000"/>
                <w:sz w:val="18"/>
                <w:szCs w:val="18"/>
              </w:rPr>
              <w:t>-</w:t>
            </w:r>
            <w:r w:rsidRPr="002108FA">
              <w:rPr>
                <w:rFonts w:cs="Arial"/>
                <w:color w:val="000000"/>
                <w:sz w:val="18"/>
                <w:szCs w:val="18"/>
              </w:rPr>
              <w:t>taking customs authority, the necessary measures to fulfil the conditions or complies with obligations;</w:t>
            </w:r>
            <w:r w:rsidRPr="002108FA">
              <w:rPr>
                <w:rFonts w:cs="Arial"/>
                <w:color w:val="000000"/>
                <w:sz w:val="18"/>
                <w:szCs w:val="18"/>
              </w:rPr>
              <w:br/>
              <w:t>- When the amendment to suspended decision has taken effect.</w:t>
            </w:r>
            <w:r w:rsidRPr="002108FA">
              <w:rPr>
                <w:rFonts w:cs="Arial"/>
                <w:color w:val="000000"/>
                <w:sz w:val="18"/>
                <w:szCs w:val="18"/>
              </w:rPr>
              <w:br/>
              <w:t>The COUI users will be authorised to End Suspension for their own DTCA using the COUI.</w:t>
            </w:r>
          </w:p>
        </w:tc>
      </w:tr>
      <w:tr w:rsidR="00FF71F2" w:rsidRPr="002108FA" w14:paraId="5235E387" w14:textId="77777777" w:rsidTr="00FF71F2">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776904D1" w14:textId="77777777" w:rsidR="00FF71F2" w:rsidRPr="002108FA" w:rsidRDefault="00FF71F2" w:rsidP="006D4191">
            <w:pPr>
              <w:jc w:val="left"/>
              <w:rPr>
                <w:sz w:val="18"/>
                <w:szCs w:val="18"/>
              </w:rPr>
            </w:pPr>
            <w:r w:rsidRPr="002108FA">
              <w:rPr>
                <w:sz w:val="18"/>
                <w:szCs w:val="18"/>
              </w:rPr>
              <w:t>Amend Customs Authorisations</w:t>
            </w:r>
          </w:p>
        </w:tc>
        <w:tc>
          <w:tcPr>
            <w:tcW w:w="0" w:type="auto"/>
            <w:vAlign w:val="center"/>
          </w:tcPr>
          <w:p w14:paraId="12EABBDE" w14:textId="50B9BD39" w:rsidR="00FF71F2" w:rsidRPr="002108FA" w:rsidRDefault="00FF71F2" w:rsidP="00111D2C">
            <w:pPr>
              <w:jc w:val="left"/>
              <w:rPr>
                <w:rFonts w:cs="Arial"/>
                <w:sz w:val="18"/>
                <w:szCs w:val="18"/>
              </w:rPr>
            </w:pPr>
            <w:r w:rsidRPr="002108FA">
              <w:rPr>
                <w:rFonts w:cs="Arial"/>
                <w:color w:val="000000"/>
                <w:sz w:val="18"/>
                <w:szCs w:val="18"/>
              </w:rPr>
              <w:t xml:space="preserve">The COUI users must be granted this role to execute the Amend Decision process. This process starts in the following cases: </w:t>
            </w:r>
            <w:r w:rsidRPr="002108FA">
              <w:rPr>
                <w:rFonts w:cs="Arial"/>
                <w:color w:val="000000"/>
                <w:sz w:val="18"/>
                <w:szCs w:val="18"/>
              </w:rPr>
              <w:br/>
              <w:t xml:space="preserve">- When the Holder of the Authorisation wishes to amend an authorisation, he can submit a request for an amendment to the </w:t>
            </w:r>
            <w:r w:rsidR="000448D3" w:rsidRPr="002108FA">
              <w:rPr>
                <w:rFonts w:cs="Arial"/>
                <w:color w:val="000000"/>
                <w:sz w:val="18"/>
                <w:szCs w:val="18"/>
              </w:rPr>
              <w:t>d</w:t>
            </w:r>
            <w:r w:rsidRPr="002108FA">
              <w:rPr>
                <w:rFonts w:cs="Arial"/>
                <w:color w:val="000000"/>
                <w:sz w:val="18"/>
                <w:szCs w:val="18"/>
              </w:rPr>
              <w:t xml:space="preserve">ecision-taking </w:t>
            </w:r>
            <w:r w:rsidR="000448D3" w:rsidRPr="002108FA">
              <w:rPr>
                <w:rFonts w:cs="Arial"/>
                <w:color w:val="000000"/>
                <w:sz w:val="18"/>
                <w:szCs w:val="18"/>
              </w:rPr>
              <w:t>c</w:t>
            </w:r>
            <w:r w:rsidRPr="002108FA">
              <w:rPr>
                <w:rFonts w:cs="Arial"/>
                <w:color w:val="000000"/>
                <w:sz w:val="18"/>
                <w:szCs w:val="18"/>
              </w:rPr>
              <w:t xml:space="preserve">ustoms </w:t>
            </w:r>
            <w:r w:rsidR="000448D3" w:rsidRPr="002108FA">
              <w:rPr>
                <w:rFonts w:cs="Arial"/>
                <w:color w:val="000000"/>
                <w:sz w:val="18"/>
                <w:szCs w:val="18"/>
              </w:rPr>
              <w:t>a</w:t>
            </w:r>
            <w:r w:rsidRPr="002108FA">
              <w:rPr>
                <w:rFonts w:cs="Arial"/>
                <w:color w:val="000000"/>
                <w:sz w:val="18"/>
                <w:szCs w:val="18"/>
              </w:rPr>
              <w:t>uthority</w:t>
            </w:r>
            <w:proofErr w:type="gramStart"/>
            <w:r w:rsidRPr="002108FA">
              <w:rPr>
                <w:rFonts w:cs="Arial"/>
                <w:color w:val="000000"/>
                <w:sz w:val="18"/>
                <w:szCs w:val="18"/>
              </w:rPr>
              <w:t>;</w:t>
            </w:r>
            <w:proofErr w:type="gramEnd"/>
            <w:r w:rsidRPr="002108FA">
              <w:rPr>
                <w:rFonts w:cs="Arial"/>
                <w:color w:val="000000"/>
                <w:sz w:val="18"/>
                <w:szCs w:val="18"/>
              </w:rPr>
              <w:br/>
              <w:t xml:space="preserve">- When one or more conditions for an authorisation were not or are no longer fulfilled, or when a decision does not conform with the legislation in force, the </w:t>
            </w:r>
            <w:r w:rsidR="00111D2C" w:rsidRPr="002108FA">
              <w:rPr>
                <w:rFonts w:cs="Arial"/>
                <w:color w:val="000000"/>
                <w:sz w:val="18"/>
                <w:szCs w:val="18"/>
              </w:rPr>
              <w:t>c</w:t>
            </w:r>
            <w:r w:rsidRPr="002108FA">
              <w:rPr>
                <w:rFonts w:cs="Arial"/>
                <w:color w:val="000000"/>
                <w:sz w:val="18"/>
                <w:szCs w:val="18"/>
              </w:rPr>
              <w:t>ustom</w:t>
            </w:r>
            <w:r w:rsidR="000A7ADF" w:rsidRPr="002108FA">
              <w:rPr>
                <w:rFonts w:cs="Arial"/>
                <w:color w:val="000000"/>
                <w:sz w:val="18"/>
                <w:szCs w:val="18"/>
              </w:rPr>
              <w:t>s</w:t>
            </w:r>
            <w:r w:rsidRPr="002108FA">
              <w:rPr>
                <w:rFonts w:cs="Arial"/>
                <w:color w:val="000000"/>
                <w:sz w:val="18"/>
                <w:szCs w:val="18"/>
              </w:rPr>
              <w:t xml:space="preserve"> </w:t>
            </w:r>
            <w:r w:rsidR="00111D2C" w:rsidRPr="002108FA">
              <w:rPr>
                <w:rFonts w:cs="Arial"/>
                <w:color w:val="000000"/>
                <w:sz w:val="18"/>
                <w:szCs w:val="18"/>
              </w:rPr>
              <w:t>o</w:t>
            </w:r>
            <w:r w:rsidRPr="002108FA">
              <w:rPr>
                <w:rFonts w:cs="Arial"/>
                <w:color w:val="000000"/>
                <w:sz w:val="18"/>
                <w:szCs w:val="18"/>
              </w:rPr>
              <w:t>fficer registers the reasons for the intention to amend the certain decision.</w:t>
            </w:r>
            <w:r w:rsidRPr="002108FA">
              <w:rPr>
                <w:rFonts w:cs="Arial"/>
                <w:color w:val="000000"/>
                <w:sz w:val="18"/>
                <w:szCs w:val="18"/>
              </w:rPr>
              <w:br/>
              <w:t xml:space="preserve">In addition, the </w:t>
            </w:r>
            <w:r w:rsidR="00EE482D" w:rsidRPr="002108FA">
              <w:rPr>
                <w:rFonts w:cs="Arial"/>
                <w:color w:val="000000"/>
                <w:sz w:val="18"/>
                <w:szCs w:val="18"/>
              </w:rPr>
              <w:t>c</w:t>
            </w:r>
            <w:r w:rsidRPr="002108FA">
              <w:rPr>
                <w:rFonts w:cs="Arial"/>
                <w:color w:val="000000"/>
                <w:sz w:val="18"/>
                <w:szCs w:val="18"/>
              </w:rPr>
              <w:t xml:space="preserve">ustoms </w:t>
            </w:r>
            <w:r w:rsidR="00EE482D" w:rsidRPr="002108FA">
              <w:rPr>
                <w:rFonts w:cs="Arial"/>
                <w:color w:val="000000"/>
                <w:sz w:val="18"/>
                <w:szCs w:val="18"/>
              </w:rPr>
              <w:t>o</w:t>
            </w:r>
            <w:r w:rsidRPr="002108FA">
              <w:rPr>
                <w:rFonts w:cs="Arial"/>
                <w:color w:val="000000"/>
                <w:sz w:val="18"/>
                <w:szCs w:val="18"/>
              </w:rPr>
              <w:t>fficer will register the intended amendment. This refers to the actual values in the customs decisions that he wants to change</w:t>
            </w:r>
            <w:proofErr w:type="gramStart"/>
            <w:r w:rsidRPr="002108FA">
              <w:rPr>
                <w:rFonts w:cs="Arial"/>
                <w:color w:val="000000"/>
                <w:sz w:val="18"/>
                <w:szCs w:val="18"/>
              </w:rPr>
              <w:t>:</w:t>
            </w:r>
            <w:proofErr w:type="gramEnd"/>
            <w:r w:rsidRPr="002108FA">
              <w:rPr>
                <w:rFonts w:cs="Arial"/>
                <w:color w:val="000000"/>
                <w:sz w:val="18"/>
                <w:szCs w:val="18"/>
              </w:rPr>
              <w:br/>
              <w:t xml:space="preserve">- When the </w:t>
            </w:r>
            <w:proofErr w:type="spellStart"/>
            <w:r w:rsidRPr="002108FA">
              <w:rPr>
                <w:rFonts w:cs="Arial"/>
                <w:color w:val="000000"/>
                <w:sz w:val="18"/>
                <w:szCs w:val="18"/>
              </w:rPr>
              <w:t>'Re</w:t>
            </w:r>
            <w:proofErr w:type="spellEnd"/>
            <w:r w:rsidRPr="002108FA">
              <w:rPr>
                <w:rFonts w:cs="Arial"/>
                <w:color w:val="000000"/>
                <w:sz w:val="18"/>
                <w:szCs w:val="18"/>
              </w:rPr>
              <w:t>-assess decision', 'Suspend Decision' or 'Annul Decision' process ends and amendment is required, the Amend Decision process is triggered.</w:t>
            </w:r>
            <w:r w:rsidRPr="002108FA">
              <w:rPr>
                <w:rFonts w:cs="Arial"/>
                <w:color w:val="000000"/>
                <w:sz w:val="18"/>
                <w:szCs w:val="18"/>
              </w:rPr>
              <w:br/>
              <w:t>The COUI users will be authorised to Amend Customs Authorisations for their own DTCA using the COUI.</w:t>
            </w:r>
          </w:p>
        </w:tc>
      </w:tr>
      <w:tr w:rsidR="00FF71F2" w:rsidRPr="002108FA" w14:paraId="6EDCB591" w14:textId="77777777" w:rsidTr="00FF71F2">
        <w:trPr>
          <w:jc w:val="center"/>
        </w:trPr>
        <w:tc>
          <w:tcPr>
            <w:tcW w:w="0" w:type="auto"/>
            <w:vAlign w:val="center"/>
          </w:tcPr>
          <w:p w14:paraId="78668E80" w14:textId="77777777" w:rsidR="00FF71F2" w:rsidRPr="002108FA" w:rsidRDefault="00FF71F2" w:rsidP="006D4191">
            <w:pPr>
              <w:jc w:val="left"/>
              <w:rPr>
                <w:sz w:val="18"/>
                <w:szCs w:val="18"/>
              </w:rPr>
            </w:pPr>
            <w:r w:rsidRPr="002108FA">
              <w:rPr>
                <w:sz w:val="18"/>
                <w:szCs w:val="18"/>
              </w:rPr>
              <w:t>Revoke Customs Authorisations</w:t>
            </w:r>
          </w:p>
        </w:tc>
        <w:tc>
          <w:tcPr>
            <w:tcW w:w="0" w:type="auto"/>
            <w:vAlign w:val="center"/>
          </w:tcPr>
          <w:p w14:paraId="1175CA40" w14:textId="2644D0AE" w:rsidR="00FF71F2" w:rsidRPr="002108FA" w:rsidRDefault="00FF71F2" w:rsidP="006D4191">
            <w:pPr>
              <w:jc w:val="left"/>
              <w:rPr>
                <w:rFonts w:cs="Arial"/>
                <w:sz w:val="18"/>
                <w:szCs w:val="18"/>
              </w:rPr>
            </w:pPr>
            <w:r w:rsidRPr="002108FA">
              <w:rPr>
                <w:rFonts w:cs="Arial"/>
                <w:color w:val="000000"/>
                <w:sz w:val="18"/>
                <w:szCs w:val="18"/>
              </w:rPr>
              <w:t xml:space="preserve">The COUI users must be granted this role to execute the Revoke Decision process. This process starts in the following cases: </w:t>
            </w:r>
            <w:r w:rsidRPr="002108FA">
              <w:rPr>
                <w:rFonts w:cs="Arial"/>
                <w:color w:val="000000"/>
                <w:sz w:val="18"/>
                <w:szCs w:val="18"/>
              </w:rPr>
              <w:br/>
              <w:t xml:space="preserve">- When the </w:t>
            </w:r>
            <w:r w:rsidR="00EE482D" w:rsidRPr="002108FA">
              <w:rPr>
                <w:rFonts w:cs="Arial"/>
                <w:color w:val="000000"/>
                <w:sz w:val="18"/>
                <w:szCs w:val="18"/>
              </w:rPr>
              <w:t>c</w:t>
            </w:r>
            <w:r w:rsidRPr="002108FA">
              <w:rPr>
                <w:rFonts w:cs="Arial"/>
                <w:color w:val="000000"/>
                <w:sz w:val="18"/>
                <w:szCs w:val="18"/>
              </w:rPr>
              <w:t xml:space="preserve">ustoms </w:t>
            </w:r>
            <w:r w:rsidR="00EE482D" w:rsidRPr="002108FA">
              <w:rPr>
                <w:rFonts w:cs="Arial"/>
                <w:color w:val="000000"/>
                <w:sz w:val="18"/>
                <w:szCs w:val="18"/>
              </w:rPr>
              <w:t>o</w:t>
            </w:r>
            <w:r w:rsidRPr="002108FA">
              <w:rPr>
                <w:rFonts w:cs="Arial"/>
                <w:color w:val="000000"/>
                <w:sz w:val="18"/>
                <w:szCs w:val="18"/>
              </w:rPr>
              <w:t xml:space="preserve">fficer establishes that a revocation is required, the </w:t>
            </w:r>
            <w:r w:rsidR="00EE482D" w:rsidRPr="002108FA">
              <w:rPr>
                <w:rFonts w:cs="Arial"/>
                <w:color w:val="000000"/>
                <w:sz w:val="18"/>
                <w:szCs w:val="18"/>
              </w:rPr>
              <w:t>c</w:t>
            </w:r>
            <w:r w:rsidRPr="002108FA">
              <w:rPr>
                <w:rFonts w:cs="Arial"/>
                <w:color w:val="000000"/>
                <w:sz w:val="18"/>
                <w:szCs w:val="18"/>
              </w:rPr>
              <w:t xml:space="preserve">ustoms </w:t>
            </w:r>
            <w:r w:rsidR="00EE482D" w:rsidRPr="002108FA">
              <w:rPr>
                <w:rFonts w:cs="Arial"/>
                <w:color w:val="000000"/>
                <w:sz w:val="18"/>
                <w:szCs w:val="18"/>
              </w:rPr>
              <w:t>o</w:t>
            </w:r>
            <w:r w:rsidRPr="002108FA">
              <w:rPr>
                <w:rFonts w:cs="Arial"/>
                <w:color w:val="000000"/>
                <w:sz w:val="18"/>
                <w:szCs w:val="18"/>
              </w:rPr>
              <w:t xml:space="preserve">fficer registers the intention to revoke the authorisation into the Customs Decisions </w:t>
            </w:r>
            <w:r w:rsidR="004259B7" w:rsidRPr="002108FA">
              <w:rPr>
                <w:rFonts w:cs="Arial"/>
                <w:color w:val="000000"/>
                <w:sz w:val="18"/>
                <w:szCs w:val="18"/>
              </w:rPr>
              <w:t>s</w:t>
            </w:r>
            <w:r w:rsidRPr="002108FA">
              <w:rPr>
                <w:rFonts w:cs="Arial"/>
                <w:color w:val="000000"/>
                <w:sz w:val="18"/>
                <w:szCs w:val="18"/>
              </w:rPr>
              <w:t>ystem</w:t>
            </w:r>
            <w:proofErr w:type="gramStart"/>
            <w:r w:rsidRPr="002108FA">
              <w:rPr>
                <w:rFonts w:cs="Arial"/>
                <w:color w:val="000000"/>
                <w:sz w:val="18"/>
                <w:szCs w:val="18"/>
              </w:rPr>
              <w:t>;</w:t>
            </w:r>
            <w:proofErr w:type="gramEnd"/>
            <w:r w:rsidRPr="002108FA">
              <w:rPr>
                <w:rFonts w:cs="Arial"/>
                <w:color w:val="000000"/>
                <w:sz w:val="18"/>
                <w:szCs w:val="18"/>
              </w:rPr>
              <w:br/>
              <w:t xml:space="preserve">- When the 'Annul Decision', </w:t>
            </w:r>
            <w:proofErr w:type="spellStart"/>
            <w:r w:rsidRPr="002108FA">
              <w:rPr>
                <w:rFonts w:cs="Arial"/>
                <w:color w:val="000000"/>
                <w:sz w:val="18"/>
                <w:szCs w:val="18"/>
              </w:rPr>
              <w:t>'Re</w:t>
            </w:r>
            <w:proofErr w:type="spellEnd"/>
            <w:r w:rsidRPr="002108FA">
              <w:rPr>
                <w:rFonts w:cs="Arial"/>
                <w:color w:val="000000"/>
                <w:sz w:val="18"/>
                <w:szCs w:val="18"/>
              </w:rPr>
              <w:t>-assess Decision' or 'Suspend Decision' process ends and revocation is required;</w:t>
            </w:r>
            <w:r w:rsidRPr="002108FA">
              <w:rPr>
                <w:rFonts w:cs="Arial"/>
                <w:color w:val="000000"/>
                <w:sz w:val="18"/>
                <w:szCs w:val="18"/>
              </w:rPr>
              <w:br/>
              <w:t>- When the holder of an authorisation submits a request to revoke the authorisation.</w:t>
            </w:r>
            <w:r w:rsidRPr="002108FA">
              <w:rPr>
                <w:rFonts w:cs="Arial"/>
                <w:color w:val="000000"/>
                <w:sz w:val="18"/>
                <w:szCs w:val="18"/>
              </w:rPr>
              <w:br/>
              <w:t>The COUI users will be authorised to Revoke Customs Authorisations for their own DTCA using the COUI.</w:t>
            </w:r>
          </w:p>
        </w:tc>
      </w:tr>
      <w:tr w:rsidR="00FF71F2" w:rsidRPr="002108FA" w14:paraId="01E8E32A" w14:textId="77777777" w:rsidTr="00FF71F2">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242E5DFC" w14:textId="77777777" w:rsidR="00FF71F2" w:rsidRPr="002108FA" w:rsidRDefault="00FF71F2" w:rsidP="006D4191">
            <w:pPr>
              <w:jc w:val="left"/>
              <w:rPr>
                <w:sz w:val="18"/>
                <w:szCs w:val="18"/>
              </w:rPr>
            </w:pPr>
            <w:r w:rsidRPr="002108FA">
              <w:rPr>
                <w:sz w:val="18"/>
                <w:szCs w:val="18"/>
              </w:rPr>
              <w:t>Annul Customs Authorisations</w:t>
            </w:r>
          </w:p>
        </w:tc>
        <w:tc>
          <w:tcPr>
            <w:tcW w:w="0" w:type="auto"/>
            <w:vAlign w:val="center"/>
          </w:tcPr>
          <w:p w14:paraId="21D84C03" w14:textId="48D2B33B" w:rsidR="00FF71F2" w:rsidRPr="002108FA" w:rsidRDefault="00FF71F2" w:rsidP="006D4191">
            <w:pPr>
              <w:jc w:val="left"/>
              <w:rPr>
                <w:rFonts w:cs="Arial"/>
                <w:sz w:val="18"/>
                <w:szCs w:val="18"/>
              </w:rPr>
            </w:pPr>
            <w:r w:rsidRPr="002108FA">
              <w:rPr>
                <w:rFonts w:cs="Arial"/>
                <w:color w:val="000000"/>
                <w:sz w:val="18"/>
                <w:szCs w:val="18"/>
              </w:rPr>
              <w:t xml:space="preserve">The COUI users must be granted this role to execute the Annul Decision process. This process starts in the following cases: </w:t>
            </w:r>
            <w:r w:rsidRPr="002108FA">
              <w:rPr>
                <w:rFonts w:cs="Arial"/>
                <w:color w:val="000000"/>
                <w:sz w:val="18"/>
                <w:szCs w:val="18"/>
              </w:rPr>
              <w:br/>
              <w:t xml:space="preserve">- When the </w:t>
            </w:r>
            <w:r w:rsidR="00EE482D" w:rsidRPr="002108FA">
              <w:rPr>
                <w:rFonts w:cs="Arial"/>
                <w:color w:val="000000"/>
                <w:sz w:val="18"/>
                <w:szCs w:val="18"/>
              </w:rPr>
              <w:t>c</w:t>
            </w:r>
            <w:r w:rsidRPr="002108FA">
              <w:rPr>
                <w:rFonts w:cs="Arial"/>
                <w:color w:val="000000"/>
                <w:sz w:val="18"/>
                <w:szCs w:val="18"/>
              </w:rPr>
              <w:t xml:space="preserve">ustoms </w:t>
            </w:r>
            <w:r w:rsidR="00EE482D" w:rsidRPr="002108FA">
              <w:rPr>
                <w:rFonts w:cs="Arial"/>
                <w:color w:val="000000"/>
                <w:sz w:val="18"/>
                <w:szCs w:val="18"/>
              </w:rPr>
              <w:t>o</w:t>
            </w:r>
            <w:r w:rsidRPr="002108FA">
              <w:rPr>
                <w:rFonts w:cs="Arial"/>
                <w:color w:val="000000"/>
                <w:sz w:val="18"/>
                <w:szCs w:val="18"/>
              </w:rPr>
              <w:t>fficer identifies that the decision no longer conforms with the customs legislation, or when it has been based on incorrect / incomplete applicant information or when the result of a re-assessment indicates that the decision needs to be annulled</w:t>
            </w:r>
            <w:proofErr w:type="gramStart"/>
            <w:r w:rsidRPr="002108FA">
              <w:rPr>
                <w:rFonts w:cs="Arial"/>
                <w:color w:val="000000"/>
                <w:sz w:val="18"/>
                <w:szCs w:val="18"/>
              </w:rPr>
              <w:t>;</w:t>
            </w:r>
            <w:proofErr w:type="gramEnd"/>
            <w:r w:rsidRPr="002108FA">
              <w:rPr>
                <w:rFonts w:cs="Arial"/>
                <w:color w:val="000000"/>
                <w:sz w:val="18"/>
                <w:szCs w:val="18"/>
              </w:rPr>
              <w:br/>
              <w:t xml:space="preserve">- When the result of a re-assessment or a suspension indicates that the decision needs to be annulled, the </w:t>
            </w:r>
            <w:r w:rsidR="00EE482D" w:rsidRPr="002108FA">
              <w:rPr>
                <w:rFonts w:cs="Arial"/>
                <w:color w:val="000000"/>
                <w:sz w:val="18"/>
                <w:szCs w:val="18"/>
              </w:rPr>
              <w:t>c</w:t>
            </w:r>
            <w:r w:rsidRPr="002108FA">
              <w:rPr>
                <w:rFonts w:cs="Arial"/>
                <w:color w:val="000000"/>
                <w:sz w:val="18"/>
                <w:szCs w:val="18"/>
              </w:rPr>
              <w:t xml:space="preserve">ustoms </w:t>
            </w:r>
            <w:r w:rsidR="00EE482D" w:rsidRPr="002108FA">
              <w:rPr>
                <w:rFonts w:cs="Arial"/>
                <w:color w:val="000000"/>
                <w:sz w:val="18"/>
                <w:szCs w:val="18"/>
              </w:rPr>
              <w:t>o</w:t>
            </w:r>
            <w:r w:rsidRPr="002108FA">
              <w:rPr>
                <w:rFonts w:cs="Arial"/>
                <w:color w:val="000000"/>
                <w:sz w:val="18"/>
                <w:szCs w:val="18"/>
              </w:rPr>
              <w:t>fficer registers the intention to annul the decision.</w:t>
            </w:r>
            <w:r w:rsidRPr="002108FA">
              <w:rPr>
                <w:rFonts w:cs="Arial"/>
                <w:color w:val="000000"/>
                <w:sz w:val="18"/>
                <w:szCs w:val="18"/>
              </w:rPr>
              <w:br/>
              <w:t>The COUI users will be authorised to Annul Customs Authorisations for their own DTCA using the COUI.</w:t>
            </w:r>
          </w:p>
        </w:tc>
      </w:tr>
      <w:tr w:rsidR="00FF71F2" w:rsidRPr="002108FA" w14:paraId="7BE9AFA3" w14:textId="77777777" w:rsidTr="00FF71F2">
        <w:trPr>
          <w:jc w:val="center"/>
        </w:trPr>
        <w:tc>
          <w:tcPr>
            <w:tcW w:w="0" w:type="auto"/>
            <w:vAlign w:val="center"/>
          </w:tcPr>
          <w:p w14:paraId="5E5F6E17" w14:textId="77777777" w:rsidR="00FF71F2" w:rsidRPr="002108FA" w:rsidRDefault="00FF71F2" w:rsidP="006D4191">
            <w:pPr>
              <w:jc w:val="left"/>
              <w:rPr>
                <w:sz w:val="18"/>
                <w:szCs w:val="18"/>
              </w:rPr>
            </w:pPr>
            <w:r w:rsidRPr="002108FA">
              <w:rPr>
                <w:sz w:val="18"/>
                <w:szCs w:val="18"/>
              </w:rPr>
              <w:t>Handle Consultation Requests</w:t>
            </w:r>
          </w:p>
        </w:tc>
        <w:tc>
          <w:tcPr>
            <w:tcW w:w="0" w:type="auto"/>
            <w:vAlign w:val="center"/>
          </w:tcPr>
          <w:p w14:paraId="0E0F4C2A" w14:textId="5C961F2D" w:rsidR="00FF71F2" w:rsidRPr="002108FA" w:rsidRDefault="00FF71F2" w:rsidP="006D4191">
            <w:pPr>
              <w:jc w:val="left"/>
              <w:rPr>
                <w:rFonts w:cs="Arial"/>
                <w:sz w:val="18"/>
                <w:szCs w:val="18"/>
              </w:rPr>
            </w:pPr>
            <w:r w:rsidRPr="002108FA">
              <w:rPr>
                <w:rFonts w:cs="Arial"/>
                <w:color w:val="000000"/>
                <w:sz w:val="18"/>
                <w:szCs w:val="18"/>
              </w:rPr>
              <w:t xml:space="preserve">The COUI users must be granted this role to handle consultation requests as a consulted </w:t>
            </w:r>
            <w:r w:rsidR="008527EC" w:rsidRPr="002108FA">
              <w:rPr>
                <w:rFonts w:cs="Arial"/>
                <w:color w:val="000000"/>
                <w:sz w:val="18"/>
                <w:szCs w:val="18"/>
              </w:rPr>
              <w:t>m</w:t>
            </w:r>
            <w:r w:rsidRPr="002108FA">
              <w:rPr>
                <w:rFonts w:cs="Arial"/>
                <w:color w:val="000000"/>
                <w:sz w:val="18"/>
                <w:szCs w:val="18"/>
              </w:rPr>
              <w:t xml:space="preserve">ember </w:t>
            </w:r>
            <w:r w:rsidR="008527EC" w:rsidRPr="002108FA">
              <w:rPr>
                <w:rFonts w:cs="Arial"/>
                <w:color w:val="000000"/>
                <w:sz w:val="18"/>
                <w:szCs w:val="18"/>
              </w:rPr>
              <w:t>s</w:t>
            </w:r>
            <w:r w:rsidRPr="002108FA">
              <w:rPr>
                <w:rFonts w:cs="Arial"/>
                <w:color w:val="000000"/>
                <w:sz w:val="18"/>
                <w:szCs w:val="18"/>
              </w:rPr>
              <w:t xml:space="preserve">tate during a Take Decision process. The COUI users will be authorised to Handle Consultation Requests from other </w:t>
            </w:r>
            <w:r w:rsidR="008527EC" w:rsidRPr="002108FA">
              <w:rPr>
                <w:rFonts w:cs="Arial"/>
                <w:color w:val="000000"/>
                <w:sz w:val="18"/>
                <w:szCs w:val="18"/>
              </w:rPr>
              <w:t>m</w:t>
            </w:r>
            <w:r w:rsidRPr="002108FA">
              <w:rPr>
                <w:rFonts w:cs="Arial"/>
                <w:color w:val="000000"/>
                <w:sz w:val="18"/>
                <w:szCs w:val="18"/>
              </w:rPr>
              <w:t xml:space="preserve">ember </w:t>
            </w:r>
            <w:r w:rsidR="008527EC" w:rsidRPr="002108FA">
              <w:rPr>
                <w:rFonts w:cs="Arial"/>
                <w:color w:val="000000"/>
                <w:sz w:val="18"/>
                <w:szCs w:val="18"/>
              </w:rPr>
              <w:t>s</w:t>
            </w:r>
            <w:r w:rsidRPr="002108FA">
              <w:rPr>
                <w:rFonts w:cs="Arial"/>
                <w:color w:val="000000"/>
                <w:sz w:val="18"/>
                <w:szCs w:val="18"/>
              </w:rPr>
              <w:t>tates assigned to their own DTCA using the COUI.</w:t>
            </w:r>
          </w:p>
        </w:tc>
      </w:tr>
      <w:tr w:rsidR="00FF71F2" w:rsidRPr="002108FA" w14:paraId="33C269B7" w14:textId="77777777" w:rsidTr="00FF71F2">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4F03EBE3" w14:textId="77777777" w:rsidR="00FF71F2" w:rsidRPr="002108FA" w:rsidRDefault="00FF71F2" w:rsidP="006D4191">
            <w:pPr>
              <w:jc w:val="left"/>
              <w:rPr>
                <w:sz w:val="18"/>
                <w:szCs w:val="18"/>
              </w:rPr>
            </w:pPr>
            <w:r w:rsidRPr="002108FA">
              <w:rPr>
                <w:sz w:val="18"/>
                <w:szCs w:val="18"/>
              </w:rPr>
              <w:t>Consult Member States</w:t>
            </w:r>
          </w:p>
        </w:tc>
        <w:tc>
          <w:tcPr>
            <w:tcW w:w="0" w:type="auto"/>
            <w:vAlign w:val="center"/>
          </w:tcPr>
          <w:p w14:paraId="647D3E0D" w14:textId="4EE2C524" w:rsidR="00FF71F2" w:rsidRPr="002108FA" w:rsidRDefault="00FF71F2" w:rsidP="006D4191">
            <w:pPr>
              <w:jc w:val="left"/>
              <w:rPr>
                <w:rFonts w:cs="Arial"/>
                <w:sz w:val="18"/>
                <w:szCs w:val="18"/>
              </w:rPr>
            </w:pPr>
            <w:r w:rsidRPr="002108FA">
              <w:rPr>
                <w:rFonts w:cs="Arial"/>
                <w:color w:val="000000"/>
                <w:sz w:val="18"/>
                <w:szCs w:val="18"/>
              </w:rPr>
              <w:t xml:space="preserve">The COUI users must be granted this role to consult a </w:t>
            </w:r>
            <w:r w:rsidR="008527EC" w:rsidRPr="002108FA">
              <w:rPr>
                <w:rFonts w:cs="Arial"/>
                <w:color w:val="000000"/>
                <w:sz w:val="18"/>
                <w:szCs w:val="18"/>
              </w:rPr>
              <w:t>m</w:t>
            </w:r>
            <w:r w:rsidRPr="002108FA">
              <w:rPr>
                <w:rFonts w:cs="Arial"/>
                <w:color w:val="000000"/>
                <w:sz w:val="18"/>
                <w:szCs w:val="18"/>
              </w:rPr>
              <w:t xml:space="preserve">ember </w:t>
            </w:r>
            <w:r w:rsidR="008527EC" w:rsidRPr="002108FA">
              <w:rPr>
                <w:rFonts w:cs="Arial"/>
                <w:color w:val="000000"/>
                <w:sz w:val="18"/>
                <w:szCs w:val="18"/>
              </w:rPr>
              <w:t>s</w:t>
            </w:r>
            <w:r w:rsidRPr="002108FA">
              <w:rPr>
                <w:rFonts w:cs="Arial"/>
                <w:color w:val="000000"/>
                <w:sz w:val="18"/>
                <w:szCs w:val="18"/>
              </w:rPr>
              <w:t>tate during the Take Decision process, the Reassess Decision process. The COUI users will be authorised to Consult Member States for their own DTCA using the COUI.</w:t>
            </w:r>
          </w:p>
        </w:tc>
      </w:tr>
      <w:tr w:rsidR="00FF71F2" w:rsidRPr="002108FA" w14:paraId="71462711" w14:textId="77777777" w:rsidTr="00FF71F2">
        <w:trPr>
          <w:jc w:val="center"/>
        </w:trPr>
        <w:tc>
          <w:tcPr>
            <w:tcW w:w="0" w:type="auto"/>
            <w:vAlign w:val="center"/>
          </w:tcPr>
          <w:p w14:paraId="445E6806" w14:textId="77777777" w:rsidR="00FF71F2" w:rsidRPr="002108FA" w:rsidRDefault="00FF71F2" w:rsidP="006D4191">
            <w:pPr>
              <w:jc w:val="left"/>
              <w:rPr>
                <w:sz w:val="18"/>
                <w:szCs w:val="18"/>
              </w:rPr>
            </w:pPr>
            <w:r w:rsidRPr="002108FA">
              <w:rPr>
                <w:sz w:val="18"/>
                <w:szCs w:val="18"/>
              </w:rPr>
              <w:t>Create Customs Authorisations</w:t>
            </w:r>
          </w:p>
        </w:tc>
        <w:tc>
          <w:tcPr>
            <w:tcW w:w="0" w:type="auto"/>
            <w:vAlign w:val="center"/>
          </w:tcPr>
          <w:p w14:paraId="74C98026" w14:textId="77777777" w:rsidR="00FF71F2" w:rsidRPr="002108FA" w:rsidRDefault="00FF71F2" w:rsidP="006D4191">
            <w:pPr>
              <w:jc w:val="left"/>
              <w:rPr>
                <w:rFonts w:cs="Arial"/>
                <w:sz w:val="18"/>
                <w:szCs w:val="18"/>
              </w:rPr>
            </w:pPr>
            <w:r w:rsidRPr="002108FA">
              <w:rPr>
                <w:rFonts w:cs="Arial"/>
                <w:color w:val="000000"/>
                <w:sz w:val="18"/>
                <w:szCs w:val="18"/>
              </w:rPr>
              <w:t>The COUI users must be granted this role to give an authorisation following the acceptation of an application. The COUI users will be authorised to Create Customs Authorisations for their own DTCA using the COUI.</w:t>
            </w:r>
          </w:p>
        </w:tc>
      </w:tr>
      <w:tr w:rsidR="00FF71F2" w:rsidRPr="002108FA" w14:paraId="400751CC" w14:textId="77777777" w:rsidTr="00FF71F2">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2B559B5B" w14:textId="77777777" w:rsidR="00FF71F2" w:rsidRPr="002108FA" w:rsidRDefault="00FF71F2" w:rsidP="006D4191">
            <w:pPr>
              <w:jc w:val="left"/>
              <w:rPr>
                <w:sz w:val="18"/>
                <w:szCs w:val="18"/>
              </w:rPr>
            </w:pPr>
            <w:r w:rsidRPr="002108FA">
              <w:rPr>
                <w:sz w:val="18"/>
                <w:szCs w:val="18"/>
              </w:rPr>
              <w:t>Manage Customs Authorities Customers</w:t>
            </w:r>
          </w:p>
        </w:tc>
        <w:tc>
          <w:tcPr>
            <w:tcW w:w="0" w:type="auto"/>
            <w:vAlign w:val="center"/>
          </w:tcPr>
          <w:p w14:paraId="0E35C65B" w14:textId="21AABE04" w:rsidR="00FF71F2" w:rsidRPr="002108FA" w:rsidRDefault="00FF71F2" w:rsidP="006D4191">
            <w:pPr>
              <w:jc w:val="left"/>
              <w:rPr>
                <w:rFonts w:cs="Arial"/>
                <w:sz w:val="18"/>
                <w:szCs w:val="18"/>
              </w:rPr>
            </w:pPr>
            <w:r w:rsidRPr="002108FA">
              <w:rPr>
                <w:rFonts w:cs="Arial"/>
                <w:color w:val="000000"/>
                <w:sz w:val="18"/>
                <w:szCs w:val="18"/>
              </w:rPr>
              <w:t xml:space="preserve">The COUI users must be granted this role to add new associations between </w:t>
            </w:r>
            <w:r w:rsidR="00EE482D" w:rsidRPr="002108FA">
              <w:rPr>
                <w:rFonts w:cs="Arial"/>
                <w:color w:val="000000"/>
                <w:sz w:val="18"/>
                <w:szCs w:val="18"/>
              </w:rPr>
              <w:t>c</w:t>
            </w:r>
            <w:r w:rsidRPr="002108FA">
              <w:rPr>
                <w:rFonts w:cs="Arial"/>
                <w:color w:val="000000"/>
                <w:sz w:val="18"/>
                <w:szCs w:val="18"/>
              </w:rPr>
              <w:t xml:space="preserve">ustoms </w:t>
            </w:r>
            <w:r w:rsidR="00EE482D" w:rsidRPr="002108FA">
              <w:rPr>
                <w:rFonts w:cs="Arial"/>
                <w:color w:val="000000"/>
                <w:sz w:val="18"/>
                <w:szCs w:val="18"/>
              </w:rPr>
              <w:t>o</w:t>
            </w:r>
            <w:r w:rsidRPr="002108FA">
              <w:rPr>
                <w:rFonts w:cs="Arial"/>
                <w:color w:val="000000"/>
                <w:sz w:val="18"/>
                <w:szCs w:val="18"/>
              </w:rPr>
              <w:t xml:space="preserve">fficers and </w:t>
            </w:r>
            <w:r w:rsidR="00307249" w:rsidRPr="002108FA">
              <w:rPr>
                <w:rFonts w:cs="Arial"/>
                <w:color w:val="000000"/>
                <w:sz w:val="18"/>
                <w:szCs w:val="18"/>
              </w:rPr>
              <w:t>c</w:t>
            </w:r>
            <w:r w:rsidRPr="002108FA">
              <w:rPr>
                <w:rFonts w:cs="Arial"/>
                <w:color w:val="000000"/>
                <w:sz w:val="18"/>
                <w:szCs w:val="18"/>
              </w:rPr>
              <w:t xml:space="preserve">ustoms </w:t>
            </w:r>
            <w:r w:rsidR="00307249" w:rsidRPr="002108FA">
              <w:rPr>
                <w:rFonts w:cs="Arial"/>
                <w:color w:val="000000"/>
                <w:sz w:val="18"/>
                <w:szCs w:val="18"/>
              </w:rPr>
              <w:t>a</w:t>
            </w:r>
            <w:r w:rsidRPr="002108FA">
              <w:rPr>
                <w:rFonts w:cs="Arial"/>
                <w:color w:val="000000"/>
                <w:sz w:val="18"/>
                <w:szCs w:val="18"/>
              </w:rPr>
              <w:t xml:space="preserve">uthority. The COUI users will be authorised to Manage Customs Authorities Officers that belong to a given DTCA of their </w:t>
            </w:r>
            <w:r w:rsidR="008527EC" w:rsidRPr="002108FA">
              <w:rPr>
                <w:rFonts w:cs="Arial"/>
                <w:color w:val="000000"/>
                <w:sz w:val="18"/>
                <w:szCs w:val="18"/>
              </w:rPr>
              <w:t>m</w:t>
            </w:r>
            <w:r w:rsidRPr="002108FA">
              <w:rPr>
                <w:rFonts w:cs="Arial"/>
                <w:color w:val="000000"/>
                <w:sz w:val="18"/>
                <w:szCs w:val="18"/>
              </w:rPr>
              <w:t xml:space="preserve">ember </w:t>
            </w:r>
            <w:r w:rsidR="008527EC" w:rsidRPr="002108FA">
              <w:rPr>
                <w:rFonts w:cs="Arial"/>
                <w:color w:val="000000"/>
                <w:sz w:val="18"/>
                <w:szCs w:val="18"/>
              </w:rPr>
              <w:t>s</w:t>
            </w:r>
            <w:r w:rsidRPr="002108FA">
              <w:rPr>
                <w:rFonts w:cs="Arial"/>
                <w:color w:val="000000"/>
                <w:sz w:val="18"/>
                <w:szCs w:val="18"/>
              </w:rPr>
              <w:t>tate.</w:t>
            </w:r>
          </w:p>
        </w:tc>
      </w:tr>
    </w:tbl>
    <w:p w14:paraId="73D9D68C" w14:textId="617067FD" w:rsidR="00FF71F2" w:rsidRPr="002108FA" w:rsidRDefault="00FF71F2" w:rsidP="006D4191">
      <w:pPr>
        <w:pStyle w:val="Caption"/>
      </w:pPr>
      <w:bookmarkStart w:id="18" w:name="_Ref480442576"/>
      <w:bookmarkStart w:id="19" w:name="_Ref480442573"/>
      <w:r w:rsidRPr="002108FA">
        <w:t xml:space="preserve">Table </w:t>
      </w:r>
      <w:r w:rsidR="00FE1656">
        <w:rPr>
          <w:noProof/>
        </w:rPr>
        <w:fldChar w:fldCharType="begin"/>
      </w:r>
      <w:r w:rsidR="00FE1656">
        <w:rPr>
          <w:noProof/>
        </w:rPr>
        <w:instrText xml:space="preserve"> SEQ Table \* ARABIC </w:instrText>
      </w:r>
      <w:r w:rsidR="00FE1656">
        <w:rPr>
          <w:noProof/>
        </w:rPr>
        <w:fldChar w:fldCharType="separate"/>
      </w:r>
      <w:r w:rsidR="006D18FB">
        <w:rPr>
          <w:noProof/>
        </w:rPr>
        <w:t>2</w:t>
      </w:r>
      <w:r w:rsidR="00FE1656">
        <w:rPr>
          <w:noProof/>
        </w:rPr>
        <w:fldChar w:fldCharType="end"/>
      </w:r>
      <w:bookmarkEnd w:id="18"/>
      <w:r w:rsidRPr="002108FA">
        <w:t xml:space="preserve"> CDMS Roles</w:t>
      </w:r>
      <w:bookmarkEnd w:id="19"/>
    </w:p>
    <w:bookmarkEnd w:id="17"/>
    <w:p w14:paraId="2491567F" w14:textId="59D978C1" w:rsidR="00FF71F2" w:rsidRPr="002108FA" w:rsidRDefault="00FF71F2" w:rsidP="006D4191">
      <w:pPr>
        <w:pStyle w:val="Heading4"/>
      </w:pPr>
      <w:r w:rsidRPr="002108FA">
        <w:t>EU Trader Portal</w:t>
      </w:r>
    </w:p>
    <w:p w14:paraId="06D93966" w14:textId="5D7ABA38" w:rsidR="00FF71F2" w:rsidRPr="002108FA" w:rsidRDefault="00FF71F2" w:rsidP="006D4191">
      <w:bookmarkStart w:id="20" w:name="_Hlk480387155"/>
      <w:r w:rsidRPr="002108FA">
        <w:t xml:space="preserve">Economic </w:t>
      </w:r>
      <w:r w:rsidR="000448D3" w:rsidRPr="002108FA">
        <w:t>o</w:t>
      </w:r>
      <w:r w:rsidRPr="002108FA">
        <w:t xml:space="preserve">perator users must be identified by the UUM&amp;DS system, a federated user management system at trans-European level. The identification of users and their relationship to </w:t>
      </w:r>
      <w:r w:rsidR="000448D3" w:rsidRPr="002108FA">
        <w:t>e</w:t>
      </w:r>
      <w:r w:rsidRPr="002108FA">
        <w:t xml:space="preserve">conomic </w:t>
      </w:r>
      <w:r w:rsidR="000448D3" w:rsidRPr="002108FA">
        <w:t>o</w:t>
      </w:r>
      <w:r w:rsidRPr="002108FA">
        <w:t xml:space="preserve">perators in UUM&amp;DS is under the responsibility of the </w:t>
      </w:r>
      <w:r w:rsidR="008527EC" w:rsidRPr="002108FA">
        <w:t>m</w:t>
      </w:r>
      <w:r w:rsidRPr="002108FA">
        <w:t xml:space="preserve">ember </w:t>
      </w:r>
      <w:r w:rsidR="00265734" w:rsidRPr="002108FA">
        <w:t>s</w:t>
      </w:r>
      <w:r w:rsidRPr="002108FA">
        <w:t>tate</w:t>
      </w:r>
      <w:r w:rsidR="006F3EB8" w:rsidRPr="002108FA">
        <w:t>s</w:t>
      </w:r>
      <w:r w:rsidRPr="002108FA">
        <w:t xml:space="preserve"> using their national </w:t>
      </w:r>
      <w:r w:rsidR="000448D3" w:rsidRPr="002108FA">
        <w:t>e</w:t>
      </w:r>
      <w:r w:rsidRPr="002108FA">
        <w:t xml:space="preserve">conomic </w:t>
      </w:r>
      <w:r w:rsidR="000448D3" w:rsidRPr="002108FA">
        <w:t>o</w:t>
      </w:r>
      <w:r w:rsidRPr="002108FA">
        <w:t xml:space="preserve">perator user management system. Economic </w:t>
      </w:r>
      <w:r w:rsidR="000448D3" w:rsidRPr="002108FA">
        <w:t>o</w:t>
      </w:r>
      <w:r w:rsidRPr="002108FA">
        <w:t>perator users can access the Trader Portal via the Internet.</w:t>
      </w:r>
    </w:p>
    <w:p w14:paraId="567BC3D0" w14:textId="407F9D21" w:rsidR="00FF71F2" w:rsidRPr="002108FA" w:rsidRDefault="00FF71F2" w:rsidP="006D4191">
      <w:pPr>
        <w:rPr>
          <w:b/>
        </w:rPr>
      </w:pPr>
      <w:r w:rsidRPr="002108FA">
        <w:t xml:space="preserve">Economic </w:t>
      </w:r>
      <w:r w:rsidR="000448D3" w:rsidRPr="002108FA">
        <w:t>o</w:t>
      </w:r>
      <w:r w:rsidRPr="002108FA">
        <w:t>perator users or representatives can only query, consult</w:t>
      </w:r>
      <w:r w:rsidRPr="002108FA">
        <w:rPr>
          <w:b/>
        </w:rPr>
        <w:t xml:space="preserve"> </w:t>
      </w:r>
      <w:r w:rsidRPr="002108FA">
        <w:t>or modify information related to their respective applications and authorisations.</w:t>
      </w:r>
      <w:r w:rsidRPr="002108FA">
        <w:rPr>
          <w:b/>
        </w:rPr>
        <w:t xml:space="preserve"> </w:t>
      </w:r>
    </w:p>
    <w:p w14:paraId="6513E085" w14:textId="77777777" w:rsidR="00FF71F2" w:rsidRPr="002108FA" w:rsidRDefault="00FF71F2" w:rsidP="006D4191">
      <w:r w:rsidRPr="002108FA">
        <w:t>Within EU Trader Portal, some roles have also been defined for the users.</w:t>
      </w:r>
    </w:p>
    <w:tbl>
      <w:tblPr>
        <w:tblStyle w:val="GridTable5Dark-Accent41"/>
        <w:tblW w:w="0" w:type="auto"/>
        <w:jc w:val="center"/>
        <w:tblLook w:val="0420" w:firstRow="1" w:lastRow="0" w:firstColumn="0" w:lastColumn="0" w:noHBand="0" w:noVBand="1"/>
      </w:tblPr>
      <w:tblGrid>
        <w:gridCol w:w="2272"/>
        <w:gridCol w:w="7016"/>
      </w:tblGrid>
      <w:tr w:rsidR="00FF71F2" w:rsidRPr="002108FA" w14:paraId="060B3CC5" w14:textId="77777777" w:rsidTr="00111D2C">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center"/>
          </w:tcPr>
          <w:p w14:paraId="469945FA" w14:textId="77777777" w:rsidR="00FF71F2" w:rsidRPr="002108FA" w:rsidRDefault="00FF71F2" w:rsidP="006D4191">
            <w:pPr>
              <w:jc w:val="left"/>
              <w:rPr>
                <w:szCs w:val="18"/>
              </w:rPr>
            </w:pPr>
            <w:r w:rsidRPr="002108FA">
              <w:rPr>
                <w:szCs w:val="18"/>
              </w:rPr>
              <w:t>EU TP Role Name</w:t>
            </w:r>
          </w:p>
        </w:tc>
        <w:tc>
          <w:tcPr>
            <w:tcW w:w="0" w:type="auto"/>
            <w:vAlign w:val="center"/>
          </w:tcPr>
          <w:p w14:paraId="011E64BC" w14:textId="77777777" w:rsidR="00FF71F2" w:rsidRPr="002108FA" w:rsidRDefault="00FF71F2" w:rsidP="006D4191">
            <w:pPr>
              <w:jc w:val="left"/>
              <w:rPr>
                <w:szCs w:val="18"/>
              </w:rPr>
            </w:pPr>
            <w:r w:rsidRPr="002108FA">
              <w:rPr>
                <w:szCs w:val="18"/>
              </w:rPr>
              <w:t>Business Description</w:t>
            </w:r>
          </w:p>
        </w:tc>
      </w:tr>
      <w:tr w:rsidR="00FF71F2" w:rsidRPr="002108FA" w14:paraId="3688950E" w14:textId="77777777" w:rsidTr="00FF71F2">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7826F515" w14:textId="77777777" w:rsidR="00FF71F2" w:rsidRPr="002108FA" w:rsidRDefault="00FF71F2" w:rsidP="006D4191">
            <w:pPr>
              <w:jc w:val="left"/>
              <w:rPr>
                <w:sz w:val="18"/>
                <w:szCs w:val="18"/>
              </w:rPr>
            </w:pPr>
            <w:r w:rsidRPr="002108FA">
              <w:rPr>
                <w:sz w:val="18"/>
                <w:szCs w:val="18"/>
              </w:rPr>
              <w:t>Customs Decisions consultative profile</w:t>
            </w:r>
          </w:p>
        </w:tc>
        <w:tc>
          <w:tcPr>
            <w:tcW w:w="0" w:type="auto"/>
            <w:vAlign w:val="center"/>
          </w:tcPr>
          <w:p w14:paraId="09950FB7" w14:textId="77777777" w:rsidR="00FF71F2" w:rsidRPr="002108FA" w:rsidRDefault="00FF71F2" w:rsidP="006D4191">
            <w:pPr>
              <w:jc w:val="left"/>
              <w:rPr>
                <w:rFonts w:cs="Arial"/>
                <w:sz w:val="18"/>
                <w:szCs w:val="18"/>
              </w:rPr>
            </w:pPr>
            <w:r w:rsidRPr="002108FA">
              <w:rPr>
                <w:rFonts w:cs="Arial"/>
                <w:color w:val="000000"/>
                <w:sz w:val="18"/>
                <w:szCs w:val="18"/>
              </w:rPr>
              <w:t>Can view common Trader Portal components, as well as view information related to the management of Customs Decisions applications and authorisations.</w:t>
            </w:r>
          </w:p>
        </w:tc>
      </w:tr>
      <w:tr w:rsidR="00FF71F2" w:rsidRPr="002108FA" w14:paraId="11EF4811" w14:textId="77777777" w:rsidTr="00FF71F2">
        <w:trPr>
          <w:jc w:val="center"/>
        </w:trPr>
        <w:tc>
          <w:tcPr>
            <w:tcW w:w="0" w:type="auto"/>
            <w:vAlign w:val="center"/>
          </w:tcPr>
          <w:p w14:paraId="30CB0F0E" w14:textId="77777777" w:rsidR="00FF71F2" w:rsidRPr="002108FA" w:rsidRDefault="00FF71F2" w:rsidP="006D4191">
            <w:pPr>
              <w:jc w:val="left"/>
              <w:rPr>
                <w:sz w:val="18"/>
                <w:szCs w:val="18"/>
              </w:rPr>
            </w:pPr>
            <w:r w:rsidRPr="002108FA">
              <w:rPr>
                <w:sz w:val="18"/>
                <w:szCs w:val="18"/>
              </w:rPr>
              <w:t>Customs Decisions administrative profile</w:t>
            </w:r>
          </w:p>
        </w:tc>
        <w:tc>
          <w:tcPr>
            <w:tcW w:w="0" w:type="auto"/>
            <w:vAlign w:val="center"/>
          </w:tcPr>
          <w:p w14:paraId="790D652C" w14:textId="77777777" w:rsidR="00FF71F2" w:rsidRPr="002108FA" w:rsidRDefault="00FF71F2" w:rsidP="006D4191">
            <w:pPr>
              <w:jc w:val="left"/>
              <w:rPr>
                <w:rFonts w:cs="Arial"/>
                <w:sz w:val="18"/>
                <w:szCs w:val="18"/>
              </w:rPr>
            </w:pPr>
            <w:r w:rsidRPr="002108FA">
              <w:rPr>
                <w:rFonts w:cs="Arial"/>
                <w:color w:val="000000"/>
                <w:sz w:val="18"/>
                <w:szCs w:val="18"/>
              </w:rPr>
              <w:t>Can view common Trader Portal components, as well as view and enter information related to the management of Customs Decisions applications and authorisations.</w:t>
            </w:r>
          </w:p>
        </w:tc>
      </w:tr>
      <w:tr w:rsidR="00FF71F2" w:rsidRPr="002108FA" w14:paraId="021E7680" w14:textId="77777777" w:rsidTr="00FF71F2">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23AC6A0D" w14:textId="77777777" w:rsidR="00FF71F2" w:rsidRPr="002108FA" w:rsidRDefault="00FF71F2" w:rsidP="006D4191">
            <w:pPr>
              <w:jc w:val="left"/>
              <w:rPr>
                <w:sz w:val="18"/>
                <w:szCs w:val="18"/>
              </w:rPr>
            </w:pPr>
            <w:r w:rsidRPr="002108FA">
              <w:rPr>
                <w:sz w:val="18"/>
                <w:szCs w:val="18"/>
              </w:rPr>
              <w:t>Customs Decisions executive profile</w:t>
            </w:r>
          </w:p>
        </w:tc>
        <w:tc>
          <w:tcPr>
            <w:tcW w:w="0" w:type="auto"/>
            <w:vAlign w:val="center"/>
          </w:tcPr>
          <w:p w14:paraId="286D3F34" w14:textId="77777777" w:rsidR="00FF71F2" w:rsidRPr="002108FA" w:rsidRDefault="00FF71F2" w:rsidP="006D4191">
            <w:pPr>
              <w:jc w:val="left"/>
              <w:rPr>
                <w:rFonts w:cs="Arial"/>
                <w:sz w:val="18"/>
                <w:szCs w:val="18"/>
              </w:rPr>
            </w:pPr>
            <w:r w:rsidRPr="002108FA">
              <w:rPr>
                <w:rFonts w:cs="Arial"/>
                <w:color w:val="000000"/>
                <w:sz w:val="18"/>
                <w:szCs w:val="18"/>
              </w:rPr>
              <w:t>Can view common Trader Portal components, as well as view, enter and submit information related to the management of Customs Decisions applications and authorisations.</w:t>
            </w:r>
          </w:p>
        </w:tc>
      </w:tr>
    </w:tbl>
    <w:p w14:paraId="65B4C059" w14:textId="64767150" w:rsidR="00FF71F2" w:rsidRPr="002108FA" w:rsidRDefault="00FF71F2" w:rsidP="006D4191">
      <w:pPr>
        <w:pStyle w:val="Caption"/>
      </w:pPr>
      <w:r w:rsidRPr="002108FA">
        <w:t xml:space="preserve">Table </w:t>
      </w:r>
      <w:r w:rsidR="00FE1656">
        <w:rPr>
          <w:noProof/>
        </w:rPr>
        <w:fldChar w:fldCharType="begin"/>
      </w:r>
      <w:r w:rsidR="00FE1656">
        <w:rPr>
          <w:noProof/>
        </w:rPr>
        <w:instrText xml:space="preserve"> SEQ Table \* ARABIC </w:instrText>
      </w:r>
      <w:r w:rsidR="00FE1656">
        <w:rPr>
          <w:noProof/>
        </w:rPr>
        <w:fldChar w:fldCharType="separate"/>
      </w:r>
      <w:r w:rsidR="006D18FB">
        <w:rPr>
          <w:noProof/>
        </w:rPr>
        <w:t>3</w:t>
      </w:r>
      <w:r w:rsidR="00FE1656">
        <w:rPr>
          <w:noProof/>
        </w:rPr>
        <w:fldChar w:fldCharType="end"/>
      </w:r>
      <w:r w:rsidRPr="002108FA">
        <w:t xml:space="preserve"> EU TP Roles</w:t>
      </w:r>
    </w:p>
    <w:bookmarkEnd w:id="20"/>
    <w:p w14:paraId="62440AD9" w14:textId="301E3564" w:rsidR="00FF71F2" w:rsidRPr="002108FA" w:rsidRDefault="00E24FFB" w:rsidP="006D4191">
      <w:r>
        <w:t xml:space="preserve">Depending on the MS, the economic operators can be represented or not (first and second level of delegation). In order to know whether your MS offers such a possibility, please refer to the section "How can I access the system?" of the Customs Decisions webpage of DG TAXUD website: </w:t>
      </w:r>
      <w:hyperlink r:id="rId25" w:history="1">
        <w:r w:rsidRPr="00E40A51">
          <w:rPr>
            <w:rStyle w:val="Hyperlink"/>
          </w:rPr>
          <w:t>https://ec.europa.eu/taxation_customs/business/customs-procedures/customs-decisions_en</w:t>
        </w:r>
      </w:hyperlink>
      <w:r>
        <w:t xml:space="preserve">. </w:t>
      </w:r>
    </w:p>
    <w:p w14:paraId="6761029E" w14:textId="171CC43C" w:rsidR="00FF71F2" w:rsidRPr="002108FA" w:rsidRDefault="00FF71F2" w:rsidP="006D4191">
      <w:pPr>
        <w:pStyle w:val="Heading4"/>
      </w:pPr>
      <w:r w:rsidRPr="002108FA">
        <w:t>National Application</w:t>
      </w:r>
    </w:p>
    <w:p w14:paraId="2DF7D114" w14:textId="49F2AFCE" w:rsidR="00FF71F2" w:rsidRPr="002108FA" w:rsidRDefault="00FF71F2" w:rsidP="00FF71F2">
      <w:r w:rsidRPr="002108FA">
        <w:t>In order to connect to the national applications, please refer to your national authorities.</w:t>
      </w:r>
    </w:p>
    <w:p w14:paraId="5C8D7209" w14:textId="6E871B5F" w:rsidR="009F0834" w:rsidRPr="002108FA" w:rsidRDefault="009F0834" w:rsidP="009F0834">
      <w:pPr>
        <w:pStyle w:val="Heading2"/>
      </w:pPr>
      <w:bookmarkStart w:id="21" w:name="_Ref486859170"/>
      <w:r w:rsidRPr="002108FA">
        <w:t>Type of Authorisations</w:t>
      </w:r>
      <w:bookmarkEnd w:id="21"/>
    </w:p>
    <w:p w14:paraId="4E1E5CD6" w14:textId="3FB78874" w:rsidR="00E75DB3" w:rsidRPr="002108FA" w:rsidRDefault="00E75DB3" w:rsidP="00E75DB3">
      <w:r w:rsidRPr="002108FA">
        <w:t xml:space="preserve">The authorisations </w:t>
      </w:r>
      <w:r w:rsidR="006D4191" w:rsidRPr="002108FA">
        <w:t xml:space="preserve">that can be granted through the Customs Decisions </w:t>
      </w:r>
      <w:r w:rsidR="004259B7" w:rsidRPr="002108FA">
        <w:t>s</w:t>
      </w:r>
      <w:r w:rsidR="006D4191" w:rsidRPr="002108FA">
        <w:t xml:space="preserve">ystem </w:t>
      </w:r>
      <w:r w:rsidRPr="002108FA">
        <w:t>have been classified into five groups – depending on their types.</w:t>
      </w:r>
    </w:p>
    <w:p w14:paraId="0B51A2F6" w14:textId="733E4148" w:rsidR="00E75DB3" w:rsidRPr="00DD3BB0" w:rsidRDefault="00E75DB3" w:rsidP="006B2987">
      <w:r w:rsidRPr="002108FA">
        <w:t xml:space="preserve">To each type of authorisation is assigned a unique type code. </w:t>
      </w:r>
      <w:r w:rsidRPr="00DD3BB0">
        <w:fldChar w:fldCharType="begin"/>
      </w:r>
      <w:r w:rsidRPr="002108FA">
        <w:instrText xml:space="preserve"> REF _Ref470099164 \h </w:instrText>
      </w:r>
      <w:r w:rsidRPr="00DD3BB0">
        <w:fldChar w:fldCharType="separate"/>
      </w:r>
      <w:r w:rsidR="006D18FB" w:rsidRPr="002108FA">
        <w:t xml:space="preserve">Table </w:t>
      </w:r>
      <w:r w:rsidR="006D18FB">
        <w:rPr>
          <w:noProof/>
        </w:rPr>
        <w:t>4</w:t>
      </w:r>
      <w:r w:rsidRPr="00DD3BB0">
        <w:fldChar w:fldCharType="end"/>
      </w:r>
      <w:r w:rsidRPr="002108FA">
        <w:t xml:space="preserve"> lists these codes and the grouping of the authorisations.</w:t>
      </w:r>
    </w:p>
    <w:tbl>
      <w:tblPr>
        <w:tblStyle w:val="GridTable5Dark-Accent41"/>
        <w:tblW w:w="0" w:type="auto"/>
        <w:jc w:val="center"/>
        <w:tblLook w:val="0420" w:firstRow="1" w:lastRow="0" w:firstColumn="0" w:lastColumn="0" w:noHBand="0" w:noVBand="1"/>
      </w:tblPr>
      <w:tblGrid>
        <w:gridCol w:w="7516"/>
        <w:gridCol w:w="1056"/>
        <w:gridCol w:w="716"/>
      </w:tblGrid>
      <w:tr w:rsidR="00E75DB3" w:rsidRPr="002108FA" w14:paraId="25A564F1" w14:textId="77777777" w:rsidTr="00111D2C">
        <w:trPr>
          <w:cnfStyle w:val="100000000000" w:firstRow="1" w:lastRow="0" w:firstColumn="0" w:lastColumn="0" w:oddVBand="0" w:evenVBand="0" w:oddHBand="0" w:evenHBand="0" w:firstRowFirstColumn="0" w:firstRowLastColumn="0" w:lastRowFirstColumn="0" w:lastRowLastColumn="0"/>
          <w:tblHeader/>
          <w:jc w:val="center"/>
        </w:trPr>
        <w:tc>
          <w:tcPr>
            <w:tcW w:w="0" w:type="auto"/>
            <w:gridSpan w:val="2"/>
          </w:tcPr>
          <w:p w14:paraId="50D46F62" w14:textId="60A2706A" w:rsidR="00E75DB3" w:rsidRPr="00DD3BB0" w:rsidRDefault="00E75DB3" w:rsidP="00E75DB3">
            <w:pPr>
              <w:jc w:val="left"/>
            </w:pPr>
            <w:r w:rsidRPr="00DD3BB0">
              <w:t>Authorisation Type</w:t>
            </w:r>
          </w:p>
        </w:tc>
        <w:tc>
          <w:tcPr>
            <w:tcW w:w="0" w:type="auto"/>
            <w:vAlign w:val="center"/>
          </w:tcPr>
          <w:p w14:paraId="2B9C48E6" w14:textId="311054DF" w:rsidR="00E75DB3" w:rsidRPr="00810B5C" w:rsidRDefault="00E75DB3" w:rsidP="00E75DB3">
            <w:r w:rsidRPr="00810B5C">
              <w:t>Code</w:t>
            </w:r>
          </w:p>
        </w:tc>
      </w:tr>
      <w:tr w:rsidR="00E75DB3" w:rsidRPr="002108FA" w14:paraId="6A5E6F15" w14:textId="77777777" w:rsidTr="006E6F6C">
        <w:trPr>
          <w:cnfStyle w:val="000000100000" w:firstRow="0" w:lastRow="0" w:firstColumn="0" w:lastColumn="0" w:oddVBand="0" w:evenVBand="0" w:oddHBand="1" w:evenHBand="0" w:firstRowFirstColumn="0" w:firstRowLastColumn="0" w:lastRowFirstColumn="0" w:lastRowLastColumn="0"/>
          <w:jc w:val="center"/>
        </w:trPr>
        <w:tc>
          <w:tcPr>
            <w:tcW w:w="0" w:type="auto"/>
            <w:gridSpan w:val="3"/>
          </w:tcPr>
          <w:p w14:paraId="314976C7" w14:textId="031D4EB5" w:rsidR="00E75DB3" w:rsidRPr="008F202C" w:rsidRDefault="00E75DB3" w:rsidP="00E75DB3">
            <w:pPr>
              <w:jc w:val="center"/>
              <w:rPr>
                <w:b/>
              </w:rPr>
            </w:pPr>
            <w:r w:rsidRPr="008F202C">
              <w:rPr>
                <w:b/>
              </w:rPr>
              <w:t>Placing Goods under a Customs Procedure and Temporary Storage</w:t>
            </w:r>
          </w:p>
        </w:tc>
      </w:tr>
      <w:tr w:rsidR="00E75DB3" w:rsidRPr="002108FA" w14:paraId="1DF544BC" w14:textId="77777777" w:rsidTr="006E6F6C">
        <w:trPr>
          <w:jc w:val="center"/>
        </w:trPr>
        <w:tc>
          <w:tcPr>
            <w:tcW w:w="0" w:type="auto"/>
            <w:gridSpan w:val="2"/>
          </w:tcPr>
          <w:p w14:paraId="4A4E9FA7" w14:textId="2C736A2F" w:rsidR="00E75DB3" w:rsidRPr="002108FA" w:rsidRDefault="00E75DB3" w:rsidP="00E75DB3">
            <w:pPr>
              <w:jc w:val="left"/>
            </w:pPr>
            <w:r w:rsidRPr="002108FA">
              <w:t>Authorisation for making a customs declaration through an entry of data in the declarant’s records, including for the export procedure</w:t>
            </w:r>
          </w:p>
        </w:tc>
        <w:tc>
          <w:tcPr>
            <w:tcW w:w="0" w:type="auto"/>
            <w:vAlign w:val="center"/>
          </w:tcPr>
          <w:p w14:paraId="454FB591" w14:textId="4A7584BB" w:rsidR="00E75DB3" w:rsidRPr="002108FA" w:rsidRDefault="00E75DB3" w:rsidP="00E75DB3">
            <w:pPr>
              <w:jc w:val="center"/>
            </w:pPr>
            <w:r w:rsidRPr="002108FA">
              <w:t>EIR</w:t>
            </w:r>
          </w:p>
        </w:tc>
      </w:tr>
      <w:tr w:rsidR="00E75DB3" w:rsidRPr="002108FA" w14:paraId="7FD9945B" w14:textId="77777777" w:rsidTr="006E6F6C">
        <w:trPr>
          <w:cnfStyle w:val="000000100000" w:firstRow="0" w:lastRow="0" w:firstColumn="0" w:lastColumn="0" w:oddVBand="0" w:evenVBand="0" w:oddHBand="1" w:evenHBand="0" w:firstRowFirstColumn="0" w:firstRowLastColumn="0" w:lastRowFirstColumn="0" w:lastRowLastColumn="0"/>
          <w:jc w:val="center"/>
        </w:trPr>
        <w:tc>
          <w:tcPr>
            <w:tcW w:w="0" w:type="auto"/>
            <w:gridSpan w:val="2"/>
          </w:tcPr>
          <w:p w14:paraId="4D088BA3" w14:textId="62BD4EA2" w:rsidR="00E75DB3" w:rsidRPr="002108FA" w:rsidRDefault="00E75DB3" w:rsidP="00E75DB3">
            <w:pPr>
              <w:jc w:val="left"/>
            </w:pPr>
            <w:r w:rsidRPr="002108FA">
              <w:t>Authorisation for centralised clearance</w:t>
            </w:r>
          </w:p>
        </w:tc>
        <w:tc>
          <w:tcPr>
            <w:tcW w:w="0" w:type="auto"/>
            <w:vAlign w:val="center"/>
          </w:tcPr>
          <w:p w14:paraId="5BE1C89A" w14:textId="1AA1A52E" w:rsidR="00E75DB3" w:rsidRPr="002108FA" w:rsidRDefault="00E75DB3" w:rsidP="00E75DB3">
            <w:pPr>
              <w:jc w:val="center"/>
            </w:pPr>
            <w:r w:rsidRPr="002108FA">
              <w:t>CCL</w:t>
            </w:r>
          </w:p>
        </w:tc>
      </w:tr>
      <w:tr w:rsidR="00E75DB3" w:rsidRPr="002108FA" w14:paraId="4BF99239" w14:textId="77777777" w:rsidTr="006E6F6C">
        <w:trPr>
          <w:jc w:val="center"/>
        </w:trPr>
        <w:tc>
          <w:tcPr>
            <w:tcW w:w="0" w:type="auto"/>
            <w:gridSpan w:val="2"/>
          </w:tcPr>
          <w:p w14:paraId="6DA1E12C" w14:textId="137E9A96" w:rsidR="00E75DB3" w:rsidRPr="002108FA" w:rsidRDefault="00E75DB3" w:rsidP="00E75DB3">
            <w:pPr>
              <w:jc w:val="left"/>
            </w:pPr>
            <w:r w:rsidRPr="002108FA">
              <w:t>Authorisation to use simplified declaration</w:t>
            </w:r>
          </w:p>
        </w:tc>
        <w:tc>
          <w:tcPr>
            <w:tcW w:w="0" w:type="auto"/>
            <w:vAlign w:val="center"/>
          </w:tcPr>
          <w:p w14:paraId="76483A82" w14:textId="351CC47E" w:rsidR="00E75DB3" w:rsidRPr="002108FA" w:rsidRDefault="00E75DB3" w:rsidP="00E75DB3">
            <w:pPr>
              <w:jc w:val="center"/>
            </w:pPr>
            <w:r w:rsidRPr="002108FA">
              <w:t>SDE</w:t>
            </w:r>
          </w:p>
        </w:tc>
      </w:tr>
      <w:tr w:rsidR="00E75DB3" w:rsidRPr="002108FA" w14:paraId="41F088F7" w14:textId="77777777" w:rsidTr="006E6F6C">
        <w:trPr>
          <w:cnfStyle w:val="000000100000" w:firstRow="0" w:lastRow="0" w:firstColumn="0" w:lastColumn="0" w:oddVBand="0" w:evenVBand="0" w:oddHBand="1" w:evenHBand="0" w:firstRowFirstColumn="0" w:firstRowLastColumn="0" w:lastRowFirstColumn="0" w:lastRowLastColumn="0"/>
          <w:jc w:val="center"/>
        </w:trPr>
        <w:tc>
          <w:tcPr>
            <w:tcW w:w="0" w:type="auto"/>
            <w:gridSpan w:val="2"/>
          </w:tcPr>
          <w:p w14:paraId="6EE7BA42" w14:textId="7AFD1806" w:rsidR="00E75DB3" w:rsidRPr="002108FA" w:rsidRDefault="00E75DB3" w:rsidP="00E75DB3">
            <w:pPr>
              <w:jc w:val="left"/>
            </w:pPr>
            <w:r w:rsidRPr="002108FA">
              <w:t xml:space="preserve">Authorisation for the status of authorised </w:t>
            </w:r>
            <w:proofErr w:type="spellStart"/>
            <w:r w:rsidRPr="002108FA">
              <w:t>weigher</w:t>
            </w:r>
            <w:proofErr w:type="spellEnd"/>
            <w:r w:rsidRPr="002108FA">
              <w:t xml:space="preserve"> of bananas</w:t>
            </w:r>
          </w:p>
        </w:tc>
        <w:tc>
          <w:tcPr>
            <w:tcW w:w="0" w:type="auto"/>
            <w:vAlign w:val="center"/>
          </w:tcPr>
          <w:p w14:paraId="4AE157C2" w14:textId="2A2B2444" w:rsidR="00E75DB3" w:rsidRPr="002108FA" w:rsidRDefault="00E75DB3" w:rsidP="00E75DB3">
            <w:pPr>
              <w:jc w:val="center"/>
            </w:pPr>
            <w:r w:rsidRPr="002108FA">
              <w:t>AWB</w:t>
            </w:r>
          </w:p>
        </w:tc>
      </w:tr>
      <w:tr w:rsidR="00E75DB3" w:rsidRPr="002108FA" w14:paraId="36C97272" w14:textId="77777777" w:rsidTr="006E6F6C">
        <w:trPr>
          <w:jc w:val="center"/>
        </w:trPr>
        <w:tc>
          <w:tcPr>
            <w:tcW w:w="0" w:type="auto"/>
            <w:gridSpan w:val="2"/>
          </w:tcPr>
          <w:p w14:paraId="1C0CD16E" w14:textId="5A8F8C79" w:rsidR="00E75DB3" w:rsidRPr="002108FA" w:rsidRDefault="00E75DB3" w:rsidP="00E75DB3">
            <w:pPr>
              <w:jc w:val="left"/>
            </w:pPr>
            <w:r w:rsidRPr="002108FA">
              <w:t>Authorisation for self-assessment</w:t>
            </w:r>
          </w:p>
        </w:tc>
        <w:tc>
          <w:tcPr>
            <w:tcW w:w="0" w:type="auto"/>
            <w:vAlign w:val="center"/>
          </w:tcPr>
          <w:p w14:paraId="32CB27FA" w14:textId="435CEAF5" w:rsidR="00E75DB3" w:rsidRPr="002108FA" w:rsidRDefault="00E75DB3" w:rsidP="00E75DB3">
            <w:pPr>
              <w:jc w:val="center"/>
            </w:pPr>
            <w:r w:rsidRPr="002108FA">
              <w:t>SAS</w:t>
            </w:r>
          </w:p>
        </w:tc>
      </w:tr>
      <w:tr w:rsidR="00E75DB3" w:rsidRPr="002108FA" w14:paraId="2D2B2A40" w14:textId="77777777" w:rsidTr="006E6F6C">
        <w:trPr>
          <w:cnfStyle w:val="000000100000" w:firstRow="0" w:lastRow="0" w:firstColumn="0" w:lastColumn="0" w:oddVBand="0" w:evenVBand="0" w:oddHBand="1" w:evenHBand="0" w:firstRowFirstColumn="0" w:firstRowLastColumn="0" w:lastRowFirstColumn="0" w:lastRowLastColumn="0"/>
          <w:jc w:val="center"/>
        </w:trPr>
        <w:tc>
          <w:tcPr>
            <w:tcW w:w="0" w:type="auto"/>
            <w:gridSpan w:val="2"/>
          </w:tcPr>
          <w:p w14:paraId="0A7E572A" w14:textId="500CE62E" w:rsidR="00E75DB3" w:rsidRPr="002108FA" w:rsidRDefault="00E75DB3" w:rsidP="00E75DB3">
            <w:pPr>
              <w:jc w:val="left"/>
            </w:pPr>
            <w:r w:rsidRPr="002108FA">
              <w:t>Authorisation for the operation of temporary storage facilities</w:t>
            </w:r>
          </w:p>
        </w:tc>
        <w:tc>
          <w:tcPr>
            <w:tcW w:w="0" w:type="auto"/>
            <w:vAlign w:val="center"/>
          </w:tcPr>
          <w:p w14:paraId="2BE28C3F" w14:textId="5C84D312" w:rsidR="00E75DB3" w:rsidRPr="002108FA" w:rsidRDefault="00E75DB3" w:rsidP="00E75DB3">
            <w:pPr>
              <w:jc w:val="center"/>
            </w:pPr>
            <w:r w:rsidRPr="002108FA">
              <w:t>TST</w:t>
            </w:r>
          </w:p>
        </w:tc>
      </w:tr>
      <w:tr w:rsidR="00B21AD0" w:rsidRPr="002108FA" w14:paraId="27ADF181" w14:textId="77777777" w:rsidTr="006E6F6C">
        <w:trPr>
          <w:jc w:val="center"/>
        </w:trPr>
        <w:tc>
          <w:tcPr>
            <w:tcW w:w="0" w:type="auto"/>
            <w:gridSpan w:val="3"/>
            <w:vAlign w:val="center"/>
          </w:tcPr>
          <w:p w14:paraId="7E7D4ADD" w14:textId="6D0D253E" w:rsidR="00B21AD0" w:rsidRPr="002108FA" w:rsidRDefault="00B21AD0" w:rsidP="00E75DB3">
            <w:pPr>
              <w:jc w:val="center"/>
              <w:rPr>
                <w:b/>
              </w:rPr>
            </w:pPr>
            <w:r w:rsidRPr="002108FA">
              <w:rPr>
                <w:b/>
              </w:rPr>
              <w:t>Special Procedures</w:t>
            </w:r>
          </w:p>
        </w:tc>
      </w:tr>
      <w:tr w:rsidR="00843892" w:rsidRPr="002108FA" w14:paraId="04A62DF9" w14:textId="77777777" w:rsidTr="006E6F6C">
        <w:trPr>
          <w:cnfStyle w:val="000000100000" w:firstRow="0" w:lastRow="0" w:firstColumn="0" w:lastColumn="0" w:oddVBand="0" w:evenVBand="0" w:oddHBand="1" w:evenHBand="0" w:firstRowFirstColumn="0" w:firstRowLastColumn="0" w:lastRowFirstColumn="0" w:lastRowLastColumn="0"/>
          <w:jc w:val="center"/>
        </w:trPr>
        <w:tc>
          <w:tcPr>
            <w:tcW w:w="0" w:type="auto"/>
            <w:vMerge w:val="restart"/>
          </w:tcPr>
          <w:p w14:paraId="6F0FD246" w14:textId="64256BE8" w:rsidR="00843892" w:rsidRPr="002108FA" w:rsidRDefault="00843892" w:rsidP="00E75DB3">
            <w:pPr>
              <w:jc w:val="left"/>
            </w:pPr>
            <w:r w:rsidRPr="002108FA">
              <w:t>Authorisation for the operation of storage facilities for customs warehousing of good</w:t>
            </w:r>
            <w:r w:rsidR="00934AE4" w:rsidRPr="002108FA">
              <w:t>s</w:t>
            </w:r>
          </w:p>
        </w:tc>
        <w:tc>
          <w:tcPr>
            <w:tcW w:w="0" w:type="auto"/>
          </w:tcPr>
          <w:p w14:paraId="2B22F06E" w14:textId="2C4429BE" w:rsidR="00843892" w:rsidRPr="002108FA" w:rsidRDefault="00843892" w:rsidP="00E75DB3">
            <w:pPr>
              <w:jc w:val="left"/>
            </w:pPr>
            <w:r w:rsidRPr="002108FA">
              <w:t>Type 1</w:t>
            </w:r>
          </w:p>
        </w:tc>
        <w:tc>
          <w:tcPr>
            <w:tcW w:w="0" w:type="auto"/>
            <w:vAlign w:val="center"/>
          </w:tcPr>
          <w:p w14:paraId="766E685A" w14:textId="3AFD7140" w:rsidR="00843892" w:rsidRPr="002108FA" w:rsidRDefault="00843892" w:rsidP="00E75DB3">
            <w:pPr>
              <w:jc w:val="center"/>
            </w:pPr>
            <w:r w:rsidRPr="002108FA">
              <w:t>CW1</w:t>
            </w:r>
          </w:p>
        </w:tc>
      </w:tr>
      <w:tr w:rsidR="00843892" w:rsidRPr="002108FA" w14:paraId="760DD50E" w14:textId="77777777" w:rsidTr="006E6F6C">
        <w:trPr>
          <w:jc w:val="center"/>
        </w:trPr>
        <w:tc>
          <w:tcPr>
            <w:tcW w:w="0" w:type="auto"/>
            <w:vMerge/>
          </w:tcPr>
          <w:p w14:paraId="79F2D39A" w14:textId="77777777" w:rsidR="00843892" w:rsidRPr="002108FA" w:rsidRDefault="00843892" w:rsidP="00E75DB3">
            <w:pPr>
              <w:jc w:val="left"/>
            </w:pPr>
          </w:p>
        </w:tc>
        <w:tc>
          <w:tcPr>
            <w:tcW w:w="0" w:type="auto"/>
          </w:tcPr>
          <w:p w14:paraId="73ACC69C" w14:textId="1D845B4C" w:rsidR="00843892" w:rsidRPr="002108FA" w:rsidRDefault="00843892" w:rsidP="00E75DB3">
            <w:pPr>
              <w:jc w:val="left"/>
            </w:pPr>
            <w:r w:rsidRPr="002108FA">
              <w:t>Type 2</w:t>
            </w:r>
          </w:p>
        </w:tc>
        <w:tc>
          <w:tcPr>
            <w:tcW w:w="0" w:type="auto"/>
            <w:vAlign w:val="center"/>
          </w:tcPr>
          <w:p w14:paraId="464C3EB1" w14:textId="7DE81BA4" w:rsidR="00843892" w:rsidRPr="002108FA" w:rsidRDefault="00843892" w:rsidP="00E75DB3">
            <w:pPr>
              <w:jc w:val="center"/>
            </w:pPr>
            <w:r w:rsidRPr="002108FA">
              <w:t>CW2</w:t>
            </w:r>
          </w:p>
        </w:tc>
      </w:tr>
      <w:tr w:rsidR="00843892" w:rsidRPr="002108FA" w14:paraId="47CF4F44" w14:textId="77777777" w:rsidTr="006E6F6C">
        <w:trPr>
          <w:cnfStyle w:val="000000100000" w:firstRow="0" w:lastRow="0" w:firstColumn="0" w:lastColumn="0" w:oddVBand="0" w:evenVBand="0" w:oddHBand="1" w:evenHBand="0" w:firstRowFirstColumn="0" w:firstRowLastColumn="0" w:lastRowFirstColumn="0" w:lastRowLastColumn="0"/>
          <w:jc w:val="center"/>
        </w:trPr>
        <w:tc>
          <w:tcPr>
            <w:tcW w:w="0" w:type="auto"/>
            <w:vMerge/>
          </w:tcPr>
          <w:p w14:paraId="7505D83D" w14:textId="77777777" w:rsidR="00843892" w:rsidRPr="002108FA" w:rsidRDefault="00843892" w:rsidP="00E75DB3">
            <w:pPr>
              <w:jc w:val="left"/>
            </w:pPr>
          </w:p>
        </w:tc>
        <w:tc>
          <w:tcPr>
            <w:tcW w:w="0" w:type="auto"/>
          </w:tcPr>
          <w:p w14:paraId="7C4588E1" w14:textId="6354A86C" w:rsidR="00843892" w:rsidRPr="002108FA" w:rsidRDefault="00843892" w:rsidP="00E75DB3">
            <w:pPr>
              <w:jc w:val="left"/>
            </w:pPr>
            <w:r w:rsidRPr="002108FA">
              <w:t>Private</w:t>
            </w:r>
          </w:p>
        </w:tc>
        <w:tc>
          <w:tcPr>
            <w:tcW w:w="0" w:type="auto"/>
            <w:vAlign w:val="center"/>
          </w:tcPr>
          <w:p w14:paraId="12A10F29" w14:textId="29F9E4E9" w:rsidR="00843892" w:rsidRPr="002108FA" w:rsidRDefault="00843892" w:rsidP="00E75DB3">
            <w:pPr>
              <w:jc w:val="center"/>
            </w:pPr>
            <w:r w:rsidRPr="002108FA">
              <w:t>CWP</w:t>
            </w:r>
          </w:p>
        </w:tc>
      </w:tr>
      <w:tr w:rsidR="00E75DB3" w:rsidRPr="002108FA" w14:paraId="53E570B7" w14:textId="77777777" w:rsidTr="006E6F6C">
        <w:trPr>
          <w:jc w:val="center"/>
        </w:trPr>
        <w:tc>
          <w:tcPr>
            <w:tcW w:w="0" w:type="auto"/>
            <w:gridSpan w:val="2"/>
          </w:tcPr>
          <w:p w14:paraId="403DE52C" w14:textId="3559FA12" w:rsidR="00E75DB3" w:rsidRPr="002108FA" w:rsidRDefault="00E75DB3" w:rsidP="00E75DB3">
            <w:pPr>
              <w:jc w:val="left"/>
            </w:pPr>
            <w:r w:rsidRPr="002108FA">
              <w:t>Authorisation for the use of inward processing procedure</w:t>
            </w:r>
          </w:p>
        </w:tc>
        <w:tc>
          <w:tcPr>
            <w:tcW w:w="0" w:type="auto"/>
            <w:vAlign w:val="center"/>
          </w:tcPr>
          <w:p w14:paraId="218DB1A9" w14:textId="34FC5992" w:rsidR="00E75DB3" w:rsidRPr="002108FA" w:rsidRDefault="00E75DB3" w:rsidP="00E75DB3">
            <w:pPr>
              <w:jc w:val="center"/>
            </w:pPr>
            <w:r w:rsidRPr="002108FA">
              <w:t>IPO</w:t>
            </w:r>
          </w:p>
        </w:tc>
      </w:tr>
      <w:tr w:rsidR="00E75DB3" w:rsidRPr="002108FA" w14:paraId="3125A957" w14:textId="77777777" w:rsidTr="006E6F6C">
        <w:trPr>
          <w:cnfStyle w:val="000000100000" w:firstRow="0" w:lastRow="0" w:firstColumn="0" w:lastColumn="0" w:oddVBand="0" w:evenVBand="0" w:oddHBand="1" w:evenHBand="0" w:firstRowFirstColumn="0" w:firstRowLastColumn="0" w:lastRowFirstColumn="0" w:lastRowLastColumn="0"/>
          <w:jc w:val="center"/>
        </w:trPr>
        <w:tc>
          <w:tcPr>
            <w:tcW w:w="0" w:type="auto"/>
            <w:gridSpan w:val="2"/>
          </w:tcPr>
          <w:p w14:paraId="41D50761" w14:textId="01B0A8B1" w:rsidR="00E75DB3" w:rsidRPr="002108FA" w:rsidRDefault="00E75DB3" w:rsidP="00E75DB3">
            <w:pPr>
              <w:jc w:val="left"/>
            </w:pPr>
            <w:r w:rsidRPr="002108FA">
              <w:t>Authorisation for the use of outward processing procedur</w:t>
            </w:r>
            <w:r w:rsidR="001419E4" w:rsidRPr="002108FA">
              <w:t>e</w:t>
            </w:r>
          </w:p>
        </w:tc>
        <w:tc>
          <w:tcPr>
            <w:tcW w:w="0" w:type="auto"/>
            <w:vAlign w:val="center"/>
          </w:tcPr>
          <w:p w14:paraId="2488DA26" w14:textId="53661D4B" w:rsidR="00E75DB3" w:rsidRPr="002108FA" w:rsidRDefault="00E75DB3" w:rsidP="00E75DB3">
            <w:pPr>
              <w:jc w:val="center"/>
            </w:pPr>
            <w:r w:rsidRPr="002108FA">
              <w:t>OPO</w:t>
            </w:r>
          </w:p>
        </w:tc>
      </w:tr>
      <w:tr w:rsidR="00E75DB3" w:rsidRPr="002108FA" w14:paraId="5F172DF5" w14:textId="77777777" w:rsidTr="006E6F6C">
        <w:trPr>
          <w:jc w:val="center"/>
        </w:trPr>
        <w:tc>
          <w:tcPr>
            <w:tcW w:w="0" w:type="auto"/>
            <w:gridSpan w:val="2"/>
          </w:tcPr>
          <w:p w14:paraId="3D56C968" w14:textId="142E1305" w:rsidR="00E75DB3" w:rsidRPr="002108FA" w:rsidRDefault="00E75DB3" w:rsidP="00E75DB3">
            <w:pPr>
              <w:jc w:val="left"/>
            </w:pPr>
            <w:r w:rsidRPr="002108FA">
              <w:t>Authorisation for the use of end use procedure</w:t>
            </w:r>
          </w:p>
        </w:tc>
        <w:tc>
          <w:tcPr>
            <w:tcW w:w="0" w:type="auto"/>
            <w:vAlign w:val="center"/>
          </w:tcPr>
          <w:p w14:paraId="457971FF" w14:textId="6D762E95" w:rsidR="00E75DB3" w:rsidRPr="002108FA" w:rsidRDefault="00E75DB3" w:rsidP="00E75DB3">
            <w:pPr>
              <w:jc w:val="center"/>
            </w:pPr>
            <w:r w:rsidRPr="002108FA">
              <w:t>EUS</w:t>
            </w:r>
          </w:p>
        </w:tc>
      </w:tr>
      <w:tr w:rsidR="00E75DB3" w:rsidRPr="002108FA" w14:paraId="6C6765C8" w14:textId="77777777" w:rsidTr="006E6F6C">
        <w:trPr>
          <w:cnfStyle w:val="000000100000" w:firstRow="0" w:lastRow="0" w:firstColumn="0" w:lastColumn="0" w:oddVBand="0" w:evenVBand="0" w:oddHBand="1" w:evenHBand="0" w:firstRowFirstColumn="0" w:firstRowLastColumn="0" w:lastRowFirstColumn="0" w:lastRowLastColumn="0"/>
          <w:jc w:val="center"/>
        </w:trPr>
        <w:tc>
          <w:tcPr>
            <w:tcW w:w="0" w:type="auto"/>
            <w:gridSpan w:val="2"/>
          </w:tcPr>
          <w:p w14:paraId="3089E1D6" w14:textId="469C5B57" w:rsidR="00E75DB3" w:rsidRPr="002108FA" w:rsidRDefault="00E75DB3" w:rsidP="00E75DB3">
            <w:pPr>
              <w:jc w:val="left"/>
            </w:pPr>
            <w:r w:rsidRPr="002108FA">
              <w:t>Authorisation for the use of temporary admission procedure</w:t>
            </w:r>
          </w:p>
        </w:tc>
        <w:tc>
          <w:tcPr>
            <w:tcW w:w="0" w:type="auto"/>
            <w:vAlign w:val="center"/>
          </w:tcPr>
          <w:p w14:paraId="34A9AD3A" w14:textId="295B1954" w:rsidR="00E75DB3" w:rsidRPr="002108FA" w:rsidRDefault="00E75DB3" w:rsidP="00E75DB3">
            <w:pPr>
              <w:jc w:val="center"/>
            </w:pPr>
            <w:r w:rsidRPr="002108FA">
              <w:t>TEA</w:t>
            </w:r>
          </w:p>
        </w:tc>
      </w:tr>
      <w:tr w:rsidR="00B21AD0" w:rsidRPr="002108FA" w14:paraId="68CED097" w14:textId="77777777" w:rsidTr="006E6F6C">
        <w:trPr>
          <w:jc w:val="center"/>
        </w:trPr>
        <w:tc>
          <w:tcPr>
            <w:tcW w:w="0" w:type="auto"/>
            <w:gridSpan w:val="3"/>
            <w:vAlign w:val="center"/>
          </w:tcPr>
          <w:p w14:paraId="2C1CD2C6" w14:textId="6CE5545A" w:rsidR="00B21AD0" w:rsidRPr="002108FA" w:rsidRDefault="00B21AD0" w:rsidP="00E75DB3">
            <w:pPr>
              <w:jc w:val="center"/>
              <w:rPr>
                <w:b/>
              </w:rPr>
            </w:pPr>
            <w:r w:rsidRPr="002108FA">
              <w:rPr>
                <w:b/>
              </w:rPr>
              <w:t>Transit</w:t>
            </w:r>
          </w:p>
        </w:tc>
      </w:tr>
      <w:tr w:rsidR="00E75DB3" w:rsidRPr="002108FA" w14:paraId="7237F1CE" w14:textId="77777777" w:rsidTr="006E6F6C">
        <w:trPr>
          <w:cnfStyle w:val="000000100000" w:firstRow="0" w:lastRow="0" w:firstColumn="0" w:lastColumn="0" w:oddVBand="0" w:evenVBand="0" w:oddHBand="1" w:evenHBand="0" w:firstRowFirstColumn="0" w:firstRowLastColumn="0" w:lastRowFirstColumn="0" w:lastRowLastColumn="0"/>
          <w:jc w:val="center"/>
        </w:trPr>
        <w:tc>
          <w:tcPr>
            <w:tcW w:w="0" w:type="auto"/>
            <w:gridSpan w:val="2"/>
          </w:tcPr>
          <w:p w14:paraId="4D77362C" w14:textId="3FEBBD1C" w:rsidR="00E75DB3" w:rsidRPr="002108FA" w:rsidRDefault="00E75DB3" w:rsidP="00E75DB3">
            <w:pPr>
              <w:jc w:val="left"/>
            </w:pPr>
            <w:r w:rsidRPr="002108FA">
              <w:t>Authorisation for the status of authorised consignee for Union transit</w:t>
            </w:r>
          </w:p>
        </w:tc>
        <w:tc>
          <w:tcPr>
            <w:tcW w:w="0" w:type="auto"/>
            <w:vAlign w:val="center"/>
          </w:tcPr>
          <w:p w14:paraId="7166076E" w14:textId="5FEF39D3" w:rsidR="00E75DB3" w:rsidRPr="002108FA" w:rsidRDefault="00E75DB3" w:rsidP="00E75DB3">
            <w:pPr>
              <w:jc w:val="center"/>
            </w:pPr>
            <w:r w:rsidRPr="002108FA">
              <w:t>ACE</w:t>
            </w:r>
          </w:p>
        </w:tc>
      </w:tr>
      <w:tr w:rsidR="00E75DB3" w:rsidRPr="002108FA" w14:paraId="23682E0F" w14:textId="77777777" w:rsidTr="006E6F6C">
        <w:trPr>
          <w:jc w:val="center"/>
        </w:trPr>
        <w:tc>
          <w:tcPr>
            <w:tcW w:w="0" w:type="auto"/>
            <w:gridSpan w:val="2"/>
          </w:tcPr>
          <w:p w14:paraId="18A497BF" w14:textId="51C2B0F7" w:rsidR="00E75DB3" w:rsidRPr="002108FA" w:rsidRDefault="00E75DB3" w:rsidP="00E75DB3">
            <w:pPr>
              <w:jc w:val="left"/>
            </w:pPr>
            <w:r w:rsidRPr="002108FA">
              <w:t>Authorisation for the status of authorised consignee for TIR operation</w:t>
            </w:r>
          </w:p>
        </w:tc>
        <w:tc>
          <w:tcPr>
            <w:tcW w:w="0" w:type="auto"/>
            <w:vAlign w:val="center"/>
          </w:tcPr>
          <w:p w14:paraId="7D5E3D72" w14:textId="0B754C31" w:rsidR="00E75DB3" w:rsidRPr="002108FA" w:rsidRDefault="00E75DB3" w:rsidP="00E75DB3">
            <w:pPr>
              <w:jc w:val="center"/>
            </w:pPr>
            <w:r w:rsidRPr="002108FA">
              <w:t>ACT</w:t>
            </w:r>
          </w:p>
        </w:tc>
      </w:tr>
      <w:tr w:rsidR="00E75DB3" w:rsidRPr="002108FA" w14:paraId="6BF67FEF" w14:textId="77777777" w:rsidTr="006E6F6C">
        <w:trPr>
          <w:cnfStyle w:val="000000100000" w:firstRow="0" w:lastRow="0" w:firstColumn="0" w:lastColumn="0" w:oddVBand="0" w:evenVBand="0" w:oddHBand="1" w:evenHBand="0" w:firstRowFirstColumn="0" w:firstRowLastColumn="0" w:lastRowFirstColumn="0" w:lastRowLastColumn="0"/>
          <w:jc w:val="center"/>
        </w:trPr>
        <w:tc>
          <w:tcPr>
            <w:tcW w:w="0" w:type="auto"/>
            <w:gridSpan w:val="2"/>
          </w:tcPr>
          <w:p w14:paraId="38056486" w14:textId="350BCCBF" w:rsidR="00E75DB3" w:rsidRPr="002108FA" w:rsidRDefault="00E75DB3" w:rsidP="00E75DB3">
            <w:pPr>
              <w:jc w:val="left"/>
            </w:pPr>
            <w:r w:rsidRPr="002108FA">
              <w:t>Authorisation for the status of authorised consignor for Union transit</w:t>
            </w:r>
          </w:p>
        </w:tc>
        <w:tc>
          <w:tcPr>
            <w:tcW w:w="0" w:type="auto"/>
            <w:vAlign w:val="center"/>
          </w:tcPr>
          <w:p w14:paraId="41EE3F12" w14:textId="549E8BBC" w:rsidR="00E75DB3" w:rsidRPr="002108FA" w:rsidRDefault="00E75DB3" w:rsidP="00E75DB3">
            <w:pPr>
              <w:jc w:val="center"/>
            </w:pPr>
            <w:r w:rsidRPr="002108FA">
              <w:t>ACR</w:t>
            </w:r>
          </w:p>
        </w:tc>
      </w:tr>
      <w:tr w:rsidR="00E75DB3" w:rsidRPr="002108FA" w14:paraId="0DFF46EE" w14:textId="77777777" w:rsidTr="006E6F6C">
        <w:trPr>
          <w:jc w:val="center"/>
        </w:trPr>
        <w:tc>
          <w:tcPr>
            <w:tcW w:w="0" w:type="auto"/>
            <w:gridSpan w:val="2"/>
          </w:tcPr>
          <w:p w14:paraId="4F0695FB" w14:textId="20BA8D23" w:rsidR="00E75DB3" w:rsidRPr="002108FA" w:rsidRDefault="00E75DB3" w:rsidP="00E75DB3">
            <w:pPr>
              <w:jc w:val="left"/>
            </w:pPr>
            <w:r w:rsidRPr="002108FA">
              <w:t>Authorisation for the status of authorised issuer</w:t>
            </w:r>
          </w:p>
        </w:tc>
        <w:tc>
          <w:tcPr>
            <w:tcW w:w="0" w:type="auto"/>
            <w:vAlign w:val="center"/>
          </w:tcPr>
          <w:p w14:paraId="4AB49D31" w14:textId="39EF18D1" w:rsidR="00E75DB3" w:rsidRPr="002108FA" w:rsidRDefault="00E75DB3" w:rsidP="00E75DB3">
            <w:pPr>
              <w:jc w:val="center"/>
            </w:pPr>
            <w:r w:rsidRPr="002108FA">
              <w:t>ACP</w:t>
            </w:r>
          </w:p>
        </w:tc>
      </w:tr>
      <w:tr w:rsidR="00E75DB3" w:rsidRPr="002108FA" w14:paraId="4BF1AA97" w14:textId="77777777" w:rsidTr="006E6F6C">
        <w:trPr>
          <w:cnfStyle w:val="000000100000" w:firstRow="0" w:lastRow="0" w:firstColumn="0" w:lastColumn="0" w:oddVBand="0" w:evenVBand="0" w:oddHBand="1" w:evenHBand="0" w:firstRowFirstColumn="0" w:firstRowLastColumn="0" w:lastRowFirstColumn="0" w:lastRowLastColumn="0"/>
          <w:jc w:val="center"/>
        </w:trPr>
        <w:tc>
          <w:tcPr>
            <w:tcW w:w="0" w:type="auto"/>
            <w:gridSpan w:val="2"/>
          </w:tcPr>
          <w:p w14:paraId="43755541" w14:textId="2FC531B6" w:rsidR="00E75DB3" w:rsidRPr="002108FA" w:rsidRDefault="00E75DB3" w:rsidP="00E75DB3">
            <w:pPr>
              <w:jc w:val="left"/>
            </w:pPr>
            <w:r w:rsidRPr="002108FA">
              <w:t>Authorisation to use of seals of a special type</w:t>
            </w:r>
          </w:p>
        </w:tc>
        <w:tc>
          <w:tcPr>
            <w:tcW w:w="0" w:type="auto"/>
            <w:vAlign w:val="center"/>
          </w:tcPr>
          <w:p w14:paraId="075466A0" w14:textId="2C75B22C" w:rsidR="00E75DB3" w:rsidRPr="002108FA" w:rsidRDefault="00E75DB3" w:rsidP="00E75DB3">
            <w:pPr>
              <w:jc w:val="center"/>
            </w:pPr>
            <w:r w:rsidRPr="002108FA">
              <w:t>SSE</w:t>
            </w:r>
          </w:p>
        </w:tc>
      </w:tr>
      <w:tr w:rsidR="00E75DB3" w:rsidRPr="002108FA" w14:paraId="30E9A21D" w14:textId="77777777" w:rsidTr="006E6F6C">
        <w:trPr>
          <w:jc w:val="center"/>
        </w:trPr>
        <w:tc>
          <w:tcPr>
            <w:tcW w:w="0" w:type="auto"/>
            <w:gridSpan w:val="2"/>
          </w:tcPr>
          <w:p w14:paraId="7805637B" w14:textId="3B10DD39" w:rsidR="00E75DB3" w:rsidRPr="002108FA" w:rsidRDefault="00E75DB3" w:rsidP="00E75DB3">
            <w:pPr>
              <w:jc w:val="left"/>
            </w:pPr>
            <w:r w:rsidRPr="002108FA">
              <w:t>Authorisation to use transit declaration with a reduced dataset</w:t>
            </w:r>
          </w:p>
        </w:tc>
        <w:tc>
          <w:tcPr>
            <w:tcW w:w="0" w:type="auto"/>
            <w:vAlign w:val="center"/>
          </w:tcPr>
          <w:p w14:paraId="01C6564E" w14:textId="204A2682" w:rsidR="00E75DB3" w:rsidRPr="002108FA" w:rsidRDefault="00E75DB3" w:rsidP="00E75DB3">
            <w:pPr>
              <w:jc w:val="center"/>
            </w:pPr>
            <w:r w:rsidRPr="002108FA">
              <w:t>TRD</w:t>
            </w:r>
          </w:p>
        </w:tc>
      </w:tr>
      <w:tr w:rsidR="00E75DB3" w:rsidRPr="002108FA" w14:paraId="7594A864" w14:textId="77777777" w:rsidTr="006E6F6C">
        <w:trPr>
          <w:cnfStyle w:val="000000100000" w:firstRow="0" w:lastRow="0" w:firstColumn="0" w:lastColumn="0" w:oddVBand="0" w:evenVBand="0" w:oddHBand="1" w:evenHBand="0" w:firstRowFirstColumn="0" w:firstRowLastColumn="0" w:lastRowFirstColumn="0" w:lastRowLastColumn="0"/>
          <w:jc w:val="center"/>
        </w:trPr>
        <w:tc>
          <w:tcPr>
            <w:tcW w:w="0" w:type="auto"/>
            <w:gridSpan w:val="2"/>
          </w:tcPr>
          <w:p w14:paraId="272CD769" w14:textId="11039FD6" w:rsidR="00E75DB3" w:rsidRPr="002108FA" w:rsidRDefault="00E75DB3" w:rsidP="00E75DB3">
            <w:pPr>
              <w:jc w:val="left"/>
            </w:pPr>
            <w:r w:rsidRPr="002108FA">
              <w:t>Authorisation for the use of an electronic transport document as customs declaration</w:t>
            </w:r>
          </w:p>
        </w:tc>
        <w:tc>
          <w:tcPr>
            <w:tcW w:w="0" w:type="auto"/>
            <w:vAlign w:val="center"/>
          </w:tcPr>
          <w:p w14:paraId="7E509C99" w14:textId="2F0993A0" w:rsidR="00E75DB3" w:rsidRPr="002108FA" w:rsidRDefault="00E75DB3" w:rsidP="00E75DB3">
            <w:pPr>
              <w:jc w:val="center"/>
            </w:pPr>
            <w:r w:rsidRPr="002108FA">
              <w:t>ETD</w:t>
            </w:r>
          </w:p>
        </w:tc>
      </w:tr>
      <w:tr w:rsidR="00B21AD0" w:rsidRPr="002108FA" w14:paraId="410648E6" w14:textId="77777777" w:rsidTr="006E6F6C">
        <w:trPr>
          <w:jc w:val="center"/>
        </w:trPr>
        <w:tc>
          <w:tcPr>
            <w:tcW w:w="0" w:type="auto"/>
            <w:gridSpan w:val="3"/>
            <w:vAlign w:val="center"/>
          </w:tcPr>
          <w:p w14:paraId="71E388DC" w14:textId="48B45848" w:rsidR="00B21AD0" w:rsidRPr="002108FA" w:rsidRDefault="00B21AD0" w:rsidP="00E75DB3">
            <w:pPr>
              <w:jc w:val="center"/>
              <w:rPr>
                <w:b/>
              </w:rPr>
            </w:pPr>
            <w:r w:rsidRPr="002108FA">
              <w:rPr>
                <w:b/>
              </w:rPr>
              <w:t>Regular Shipping Service</w:t>
            </w:r>
          </w:p>
        </w:tc>
      </w:tr>
      <w:tr w:rsidR="00E75DB3" w:rsidRPr="002108FA" w14:paraId="618F558F" w14:textId="77777777" w:rsidTr="006E6F6C">
        <w:trPr>
          <w:cnfStyle w:val="000000100000" w:firstRow="0" w:lastRow="0" w:firstColumn="0" w:lastColumn="0" w:oddVBand="0" w:evenVBand="0" w:oddHBand="1" w:evenHBand="0" w:firstRowFirstColumn="0" w:firstRowLastColumn="0" w:lastRowFirstColumn="0" w:lastRowLastColumn="0"/>
          <w:jc w:val="center"/>
        </w:trPr>
        <w:tc>
          <w:tcPr>
            <w:tcW w:w="0" w:type="auto"/>
            <w:gridSpan w:val="2"/>
          </w:tcPr>
          <w:p w14:paraId="7A1E3A2F" w14:textId="371291EB" w:rsidR="00E75DB3" w:rsidRPr="002108FA" w:rsidRDefault="00E75DB3" w:rsidP="00E75DB3">
            <w:pPr>
              <w:jc w:val="left"/>
            </w:pPr>
            <w:r w:rsidRPr="002108FA">
              <w:t>Authorisation to establish regular shipping services</w:t>
            </w:r>
          </w:p>
        </w:tc>
        <w:tc>
          <w:tcPr>
            <w:tcW w:w="0" w:type="auto"/>
            <w:vAlign w:val="center"/>
          </w:tcPr>
          <w:p w14:paraId="74AB0FF0" w14:textId="64B8EB85" w:rsidR="00E75DB3" w:rsidRPr="002108FA" w:rsidRDefault="00E75DB3" w:rsidP="00E75DB3">
            <w:pPr>
              <w:keepNext/>
              <w:jc w:val="center"/>
            </w:pPr>
            <w:r w:rsidRPr="002108FA">
              <w:t>RSS</w:t>
            </w:r>
          </w:p>
        </w:tc>
      </w:tr>
      <w:tr w:rsidR="006D4191" w:rsidRPr="002108FA" w14:paraId="22C44F7D" w14:textId="77777777" w:rsidTr="00AC1B92">
        <w:trPr>
          <w:jc w:val="center"/>
        </w:trPr>
        <w:tc>
          <w:tcPr>
            <w:tcW w:w="0" w:type="auto"/>
            <w:gridSpan w:val="3"/>
            <w:vAlign w:val="center"/>
          </w:tcPr>
          <w:p w14:paraId="2D7CAB4C" w14:textId="116A62D8" w:rsidR="006D4191" w:rsidRPr="002108FA" w:rsidRDefault="006D4191" w:rsidP="00AC1B92">
            <w:pPr>
              <w:jc w:val="center"/>
              <w:rPr>
                <w:b/>
              </w:rPr>
            </w:pPr>
            <w:r w:rsidRPr="002108FA">
              <w:rPr>
                <w:b/>
              </w:rPr>
              <w:t>Other applications</w:t>
            </w:r>
            <w:r w:rsidRPr="002108FA">
              <w:rPr>
                <w:rStyle w:val="FootnoteReference"/>
                <w:b/>
              </w:rPr>
              <w:footnoteReference w:id="3"/>
            </w:r>
          </w:p>
        </w:tc>
      </w:tr>
      <w:tr w:rsidR="006D4191" w:rsidRPr="002108FA" w14:paraId="4873AEC4" w14:textId="77777777" w:rsidTr="00AC1B92">
        <w:trPr>
          <w:cnfStyle w:val="000000100000" w:firstRow="0" w:lastRow="0" w:firstColumn="0" w:lastColumn="0" w:oddVBand="0" w:evenVBand="0" w:oddHBand="1" w:evenHBand="0" w:firstRowFirstColumn="0" w:firstRowLastColumn="0" w:lastRowFirstColumn="0" w:lastRowLastColumn="0"/>
          <w:jc w:val="center"/>
        </w:trPr>
        <w:tc>
          <w:tcPr>
            <w:tcW w:w="0" w:type="auto"/>
            <w:gridSpan w:val="2"/>
          </w:tcPr>
          <w:p w14:paraId="602A2FD2" w14:textId="77777777" w:rsidR="006D4191" w:rsidRPr="002108FA" w:rsidRDefault="006D4191" w:rsidP="00AC1B92">
            <w:pPr>
              <w:jc w:val="left"/>
            </w:pPr>
            <w:r w:rsidRPr="002108FA">
              <w:t>Authorisation for the provision of a comprehensive guarantee, including possible reduction or waiver</w:t>
            </w:r>
          </w:p>
        </w:tc>
        <w:tc>
          <w:tcPr>
            <w:tcW w:w="0" w:type="auto"/>
            <w:vAlign w:val="center"/>
          </w:tcPr>
          <w:p w14:paraId="4D797B15" w14:textId="77777777" w:rsidR="006D4191" w:rsidRPr="002108FA" w:rsidRDefault="006D4191" w:rsidP="00AC1B92">
            <w:pPr>
              <w:jc w:val="center"/>
            </w:pPr>
            <w:r w:rsidRPr="002108FA">
              <w:t>CGU</w:t>
            </w:r>
          </w:p>
        </w:tc>
      </w:tr>
      <w:tr w:rsidR="006D4191" w:rsidRPr="002108FA" w14:paraId="1AD6A4C2" w14:textId="77777777" w:rsidTr="00AC1B92">
        <w:trPr>
          <w:jc w:val="center"/>
        </w:trPr>
        <w:tc>
          <w:tcPr>
            <w:tcW w:w="0" w:type="auto"/>
            <w:gridSpan w:val="2"/>
          </w:tcPr>
          <w:p w14:paraId="190482C0" w14:textId="77777777" w:rsidR="006D4191" w:rsidRPr="002108FA" w:rsidRDefault="006D4191" w:rsidP="00AC1B92">
            <w:pPr>
              <w:jc w:val="left"/>
            </w:pPr>
            <w:r w:rsidRPr="002108FA">
              <w:t>Authorisation of deferment of the payment</w:t>
            </w:r>
          </w:p>
        </w:tc>
        <w:tc>
          <w:tcPr>
            <w:tcW w:w="0" w:type="auto"/>
            <w:vAlign w:val="center"/>
          </w:tcPr>
          <w:p w14:paraId="5D18C8A7" w14:textId="77777777" w:rsidR="006D4191" w:rsidRPr="002108FA" w:rsidRDefault="006D4191" w:rsidP="00AC1B92">
            <w:pPr>
              <w:jc w:val="center"/>
            </w:pPr>
            <w:r w:rsidRPr="002108FA">
              <w:t>DPO</w:t>
            </w:r>
          </w:p>
        </w:tc>
      </w:tr>
      <w:tr w:rsidR="006D4191" w:rsidRPr="002108FA" w14:paraId="6D8B9294" w14:textId="77777777" w:rsidTr="00AC1B92">
        <w:trPr>
          <w:cnfStyle w:val="000000100000" w:firstRow="0" w:lastRow="0" w:firstColumn="0" w:lastColumn="0" w:oddVBand="0" w:evenVBand="0" w:oddHBand="1" w:evenHBand="0" w:firstRowFirstColumn="0" w:firstRowLastColumn="0" w:lastRowFirstColumn="0" w:lastRowLastColumn="0"/>
          <w:jc w:val="center"/>
        </w:trPr>
        <w:tc>
          <w:tcPr>
            <w:tcW w:w="0" w:type="auto"/>
            <w:gridSpan w:val="2"/>
          </w:tcPr>
          <w:p w14:paraId="377B6425" w14:textId="77777777" w:rsidR="006D4191" w:rsidRPr="002108FA" w:rsidRDefault="006D4191" w:rsidP="00AC1B92">
            <w:pPr>
              <w:jc w:val="left"/>
            </w:pPr>
            <w:r w:rsidRPr="002108FA">
              <w:t>Authorisation for the simplification of the determination of amounts being part of the customs value of goods.</w:t>
            </w:r>
          </w:p>
        </w:tc>
        <w:tc>
          <w:tcPr>
            <w:tcW w:w="0" w:type="auto"/>
            <w:vAlign w:val="center"/>
          </w:tcPr>
          <w:p w14:paraId="13BDA5BA" w14:textId="77777777" w:rsidR="006D4191" w:rsidRPr="002108FA" w:rsidRDefault="006D4191" w:rsidP="00AC1B92">
            <w:pPr>
              <w:jc w:val="center"/>
            </w:pPr>
            <w:r w:rsidRPr="002108FA">
              <w:t>CVA</w:t>
            </w:r>
          </w:p>
        </w:tc>
      </w:tr>
    </w:tbl>
    <w:p w14:paraId="06B2C305" w14:textId="69C4B21C" w:rsidR="00E75DB3" w:rsidRPr="002108FA" w:rsidRDefault="00E75DB3" w:rsidP="00E75DB3">
      <w:pPr>
        <w:pStyle w:val="Caption"/>
      </w:pPr>
      <w:bookmarkStart w:id="22" w:name="_Ref470099164"/>
      <w:bookmarkStart w:id="23" w:name="_Ref470099158"/>
      <w:r w:rsidRPr="002108FA">
        <w:t xml:space="preserve">Table </w:t>
      </w:r>
      <w:r w:rsidR="00FE1656">
        <w:rPr>
          <w:noProof/>
        </w:rPr>
        <w:fldChar w:fldCharType="begin"/>
      </w:r>
      <w:r w:rsidR="00FE1656">
        <w:rPr>
          <w:noProof/>
        </w:rPr>
        <w:instrText xml:space="preserve"> SEQ Table \* ARABIC </w:instrText>
      </w:r>
      <w:r w:rsidR="00FE1656">
        <w:rPr>
          <w:noProof/>
        </w:rPr>
        <w:fldChar w:fldCharType="separate"/>
      </w:r>
      <w:r w:rsidR="006D18FB">
        <w:rPr>
          <w:noProof/>
        </w:rPr>
        <w:t>4</w:t>
      </w:r>
      <w:r w:rsidR="00FE1656">
        <w:rPr>
          <w:noProof/>
        </w:rPr>
        <w:fldChar w:fldCharType="end"/>
      </w:r>
      <w:bookmarkEnd w:id="22"/>
      <w:r w:rsidRPr="002108FA">
        <w:t xml:space="preserve"> Authorisation Type Codes</w:t>
      </w:r>
      <w:bookmarkEnd w:id="23"/>
    </w:p>
    <w:p w14:paraId="5FF15AB3" w14:textId="6F015437" w:rsidR="00656FDE" w:rsidRPr="002108FA" w:rsidRDefault="00656FDE">
      <w:pPr>
        <w:pStyle w:val="Heading2"/>
      </w:pPr>
      <w:r w:rsidRPr="002108FA">
        <w:t>Single-MS and Multi-MS Decisions</w:t>
      </w:r>
    </w:p>
    <w:p w14:paraId="60F8E78B" w14:textId="2763B07D" w:rsidR="00656FDE" w:rsidRPr="00AC44B1" w:rsidRDefault="00656FDE" w:rsidP="00AC44B1">
      <w:r w:rsidRPr="00F53A0E">
        <w:t xml:space="preserve">As defined in section </w:t>
      </w:r>
      <w:r w:rsidRPr="00AC44B1">
        <w:fldChar w:fldCharType="begin"/>
      </w:r>
      <w:r w:rsidRPr="00AC44B1">
        <w:instrText xml:space="preserve"> REF _Ref486940420 \r \h </w:instrText>
      </w:r>
      <w:r w:rsidRPr="00AC44B1">
        <w:fldChar w:fldCharType="separate"/>
      </w:r>
      <w:r w:rsidR="006D18FB">
        <w:t>1.5</w:t>
      </w:r>
      <w:r w:rsidRPr="00AC44B1">
        <w:fldChar w:fldCharType="end"/>
      </w:r>
      <w:r w:rsidRPr="00AC44B1">
        <w:t xml:space="preserve">, a single-MS decision is a decision that has impact in only one MS, while a </w:t>
      </w:r>
      <w:proofErr w:type="gramStart"/>
      <w:r w:rsidRPr="00AC44B1">
        <w:t>multi-MS</w:t>
      </w:r>
      <w:proofErr w:type="gramEnd"/>
      <w:r w:rsidRPr="00AC44B1">
        <w:t xml:space="preserve"> decision is a d</w:t>
      </w:r>
      <w:r w:rsidR="00ED1ADE" w:rsidRPr="00AC44B1">
        <w:t xml:space="preserve">ecision that has </w:t>
      </w:r>
      <w:r w:rsidRPr="00AC44B1">
        <w:t>impact in more than one MS. These two parameters are based on the data element “Geographical Validity” defined in the Annex A</w:t>
      </w:r>
      <w:r w:rsidR="00634FF2" w:rsidRPr="00AC44B1">
        <w:t xml:space="preserve"> of the Commission Implementing Regulation</w:t>
      </w:r>
      <w:r w:rsidRPr="00AC44B1">
        <w:t>.</w:t>
      </w:r>
    </w:p>
    <w:p w14:paraId="73521ACD" w14:textId="77777777" w:rsidR="00AC44B1" w:rsidRDefault="00634FF2" w:rsidP="00AC44B1">
      <w:r w:rsidRPr="00AC44B1">
        <w:t>The definition of this data element is the following</w:t>
      </w:r>
      <w:r w:rsidR="00656FDE" w:rsidRPr="00AC44B1">
        <w:t>:</w:t>
      </w:r>
      <w:r w:rsidRPr="00AC44B1">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268"/>
      </w:tblGrid>
      <w:tr w:rsidR="00AC44B1" w14:paraId="043F453F" w14:textId="77777777" w:rsidTr="00AC44B1">
        <w:trPr>
          <w:jc w:val="center"/>
        </w:trPr>
        <w:tc>
          <w:tcPr>
            <w:tcW w:w="3369" w:type="dxa"/>
            <w:tcBorders>
              <w:top w:val="single" w:sz="4" w:space="0" w:color="auto"/>
              <w:left w:val="single" w:sz="4" w:space="0" w:color="auto"/>
              <w:right w:val="single" w:sz="4" w:space="0" w:color="auto"/>
            </w:tcBorders>
            <w:vAlign w:val="center"/>
          </w:tcPr>
          <w:p w14:paraId="2CE48BB2" w14:textId="68A42E59" w:rsidR="00AC44B1" w:rsidRPr="00AC44B1" w:rsidRDefault="00AC44B1" w:rsidP="00AC44B1">
            <w:pPr>
              <w:jc w:val="left"/>
            </w:pPr>
            <w:r w:rsidRPr="00AC44B1">
              <w:t>Title I, data element 1/4</w:t>
            </w:r>
          </w:p>
        </w:tc>
        <w:tc>
          <w:tcPr>
            <w:tcW w:w="2268" w:type="dxa"/>
            <w:tcBorders>
              <w:top w:val="single" w:sz="4" w:space="0" w:color="auto"/>
              <w:left w:val="single" w:sz="4" w:space="0" w:color="auto"/>
              <w:bottom w:val="single" w:sz="4" w:space="0" w:color="auto"/>
              <w:right w:val="single" w:sz="4" w:space="0" w:color="auto"/>
            </w:tcBorders>
            <w:vAlign w:val="center"/>
          </w:tcPr>
          <w:p w14:paraId="56CFFD8F" w14:textId="792E0224" w:rsidR="00AC44B1" w:rsidRDefault="00AC44B1" w:rsidP="00AC44B1">
            <w:pPr>
              <w:jc w:val="left"/>
            </w:pPr>
            <w:r>
              <w:t>Code: 1x</w:t>
            </w:r>
          </w:p>
        </w:tc>
      </w:tr>
      <w:tr w:rsidR="00AC44B1" w14:paraId="7C6686E6" w14:textId="77777777" w:rsidTr="00AC44B1">
        <w:trPr>
          <w:jc w:val="center"/>
        </w:trPr>
        <w:tc>
          <w:tcPr>
            <w:tcW w:w="3369" w:type="dxa"/>
            <w:tcBorders>
              <w:left w:val="single" w:sz="4" w:space="0" w:color="auto"/>
              <w:bottom w:val="single" w:sz="4" w:space="0" w:color="auto"/>
              <w:right w:val="single" w:sz="4" w:space="0" w:color="auto"/>
            </w:tcBorders>
            <w:vAlign w:val="center"/>
          </w:tcPr>
          <w:p w14:paraId="0A5043C1" w14:textId="1F495C98" w:rsidR="00AC44B1" w:rsidRDefault="00AC44B1" w:rsidP="00AC44B1">
            <w:pPr>
              <w:jc w:val="left"/>
            </w:pPr>
            <w:r w:rsidRPr="00AC44B1">
              <w:t>Geographical validity – Union</w:t>
            </w:r>
          </w:p>
        </w:tc>
        <w:tc>
          <w:tcPr>
            <w:tcW w:w="2268" w:type="dxa"/>
            <w:tcBorders>
              <w:top w:val="single" w:sz="4" w:space="0" w:color="auto"/>
              <w:left w:val="single" w:sz="4" w:space="0" w:color="auto"/>
              <w:bottom w:val="single" w:sz="4" w:space="0" w:color="auto"/>
              <w:right w:val="single" w:sz="4" w:space="0" w:color="auto"/>
            </w:tcBorders>
            <w:vAlign w:val="center"/>
          </w:tcPr>
          <w:p w14:paraId="4443E9A0" w14:textId="106634A6" w:rsidR="00AC44B1" w:rsidRDefault="00AC44B1" w:rsidP="00AC44B1">
            <w:pPr>
              <w:keepNext/>
              <w:jc w:val="left"/>
            </w:pPr>
            <w:r>
              <w:t>Country Code: 99x</w:t>
            </w:r>
          </w:p>
        </w:tc>
      </w:tr>
    </w:tbl>
    <w:p w14:paraId="64A3A597" w14:textId="2B1A84D2" w:rsidR="00AC44B1" w:rsidRDefault="00AC44B1">
      <w:pPr>
        <w:pStyle w:val="Caption"/>
      </w:pPr>
      <w:r>
        <w:t xml:space="preserve">Table </w:t>
      </w:r>
      <w:r w:rsidR="00FE1656">
        <w:rPr>
          <w:noProof/>
        </w:rPr>
        <w:fldChar w:fldCharType="begin"/>
      </w:r>
      <w:r w:rsidR="00FE1656">
        <w:rPr>
          <w:noProof/>
        </w:rPr>
        <w:instrText xml:space="preserve"> SEQ Table \* ARABIC </w:instrText>
      </w:r>
      <w:r w:rsidR="00FE1656">
        <w:rPr>
          <w:noProof/>
        </w:rPr>
        <w:fldChar w:fldCharType="separate"/>
      </w:r>
      <w:r w:rsidR="006D18FB">
        <w:rPr>
          <w:noProof/>
        </w:rPr>
        <w:t>5</w:t>
      </w:r>
      <w:r w:rsidR="00FE1656">
        <w:rPr>
          <w:noProof/>
        </w:rPr>
        <w:fldChar w:fldCharType="end"/>
      </w:r>
      <w:r>
        <w:t xml:space="preserve"> - Definition of the "Geographical Validity - Union" data element</w:t>
      </w:r>
    </w:p>
    <w:p w14:paraId="2CEBDD8B" w14:textId="4A706D93" w:rsidR="00656FDE" w:rsidRPr="00DD3BB0" w:rsidRDefault="008F202C" w:rsidP="00AC44B1">
      <w:pPr>
        <w:spacing w:before="120"/>
        <w:ind w:left="578"/>
      </w:pPr>
      <w:r>
        <w:t xml:space="preserve">Where the </w:t>
      </w:r>
      <w:r w:rsidR="00AC44B1">
        <w:t xml:space="preserve">possible </w:t>
      </w:r>
      <w:r>
        <w:t>values of the code are the following:</w:t>
      </w:r>
    </w:p>
    <w:p w14:paraId="362E55D7" w14:textId="2F8DDB4D" w:rsidR="00656FDE" w:rsidRPr="008F202C" w:rsidRDefault="00634FF2" w:rsidP="00AC44B1">
      <w:pPr>
        <w:pStyle w:val="ListParagraph"/>
        <w:numPr>
          <w:ilvl w:val="0"/>
          <w:numId w:val="53"/>
        </w:numPr>
        <w:ind w:hanging="312"/>
      </w:pPr>
      <w:r w:rsidRPr="008F202C">
        <w:t>A</w:t>
      </w:r>
      <w:r w:rsidR="00656FDE" w:rsidRPr="008F202C">
        <w:t>pplication or authorisation valid in all Member States</w:t>
      </w:r>
      <w:r w:rsidR="00DD27E8" w:rsidRPr="008F202C">
        <w:t>;</w:t>
      </w:r>
    </w:p>
    <w:p w14:paraId="070E2A3F" w14:textId="5AEEB7DE" w:rsidR="00656FDE" w:rsidRPr="008F202C" w:rsidRDefault="00634FF2" w:rsidP="00AC44B1">
      <w:pPr>
        <w:pStyle w:val="ListParagraph"/>
        <w:numPr>
          <w:ilvl w:val="0"/>
          <w:numId w:val="53"/>
        </w:numPr>
        <w:ind w:hanging="312"/>
      </w:pPr>
      <w:r w:rsidRPr="008F202C">
        <w:t>A</w:t>
      </w:r>
      <w:r w:rsidR="00656FDE" w:rsidRPr="008F202C">
        <w:t>pplication or authorisation limited to certain Member States</w:t>
      </w:r>
      <w:r w:rsidR="00DD27E8" w:rsidRPr="008F202C">
        <w:t>;</w:t>
      </w:r>
    </w:p>
    <w:p w14:paraId="4AF980A5" w14:textId="1E3523C5" w:rsidR="00656FDE" w:rsidRPr="00F53A0E" w:rsidRDefault="00634FF2" w:rsidP="00AC44B1">
      <w:pPr>
        <w:pStyle w:val="ListParagraph"/>
        <w:numPr>
          <w:ilvl w:val="0"/>
          <w:numId w:val="53"/>
        </w:numPr>
        <w:ind w:hanging="312"/>
      </w:pPr>
      <w:r w:rsidRPr="00F53A0E">
        <w:t>A</w:t>
      </w:r>
      <w:r w:rsidR="00656FDE" w:rsidRPr="00F53A0E">
        <w:t>pplication or authorisation limited to one Member State</w:t>
      </w:r>
      <w:r w:rsidR="00DD27E8" w:rsidRPr="00F53A0E">
        <w:t>.</w:t>
      </w:r>
    </w:p>
    <w:p w14:paraId="5E171E93" w14:textId="77777777" w:rsidR="005B1675" w:rsidRPr="00F53A0E" w:rsidRDefault="005B1675" w:rsidP="00AC44B1"/>
    <w:p w14:paraId="3C546C0F" w14:textId="5D5BC8DA" w:rsidR="00656FDE" w:rsidRPr="00AC44B1" w:rsidRDefault="005B1675" w:rsidP="00AC44B1">
      <w:r w:rsidRPr="00AC44B1">
        <w:t xml:space="preserve">Hereby, code 1 and code 2 </w:t>
      </w:r>
      <w:proofErr w:type="gramStart"/>
      <w:r w:rsidRPr="00AC44B1">
        <w:t>stand</w:t>
      </w:r>
      <w:proofErr w:type="gramEnd"/>
      <w:r w:rsidRPr="00AC44B1">
        <w:t xml:space="preserve"> for </w:t>
      </w:r>
      <w:r w:rsidR="009950F4" w:rsidRPr="00AC44B1">
        <w:t>the multi-MS decisions and code 3 stands for the single-MS decision.</w:t>
      </w:r>
    </w:p>
    <w:p w14:paraId="5115A02D" w14:textId="709E161A" w:rsidR="009950F4" w:rsidRPr="00F53A0E" w:rsidRDefault="00076B28" w:rsidP="00AC44B1">
      <w:r>
        <w:t>Specifically</w:t>
      </w:r>
      <w:r w:rsidR="00774E49">
        <w:t>,</w:t>
      </w:r>
      <w:r>
        <w:t xml:space="preserve"> for code 2 (Application or authorisation limited to certain Member States) a</w:t>
      </w:r>
      <w:r w:rsidRPr="00AC44B1">
        <w:t xml:space="preserve">ll </w:t>
      </w:r>
      <w:r w:rsidR="00634FF2" w:rsidRPr="00AC44B1">
        <w:t xml:space="preserve">member states, in which the decision </w:t>
      </w:r>
      <w:r w:rsidR="00AC44B1">
        <w:t>is intended to</w:t>
      </w:r>
      <w:r w:rsidR="00634FF2" w:rsidRPr="00AC44B1">
        <w:t xml:space="preserve"> be valid, </w:t>
      </w:r>
      <w:r w:rsidR="00AC44B1">
        <w:t>need to be</w:t>
      </w:r>
      <w:r w:rsidR="00634FF2" w:rsidRPr="00AC44B1">
        <w:t xml:space="preserve"> explicitly listed by the applicant in the application.</w:t>
      </w:r>
    </w:p>
    <w:p w14:paraId="40D14134" w14:textId="68922DF2" w:rsidR="009F0834" w:rsidRPr="002108FA" w:rsidRDefault="009F0834" w:rsidP="009F0834">
      <w:pPr>
        <w:pStyle w:val="Heading2"/>
      </w:pPr>
      <w:r w:rsidRPr="002108FA">
        <w:t>Business</w:t>
      </w:r>
    </w:p>
    <w:p w14:paraId="3A129A6D" w14:textId="532BFEC5" w:rsidR="009F0834" w:rsidRPr="002108FA" w:rsidRDefault="009F0834" w:rsidP="009F0834">
      <w:r w:rsidRPr="002108FA">
        <w:t>The Customs Decision</w:t>
      </w:r>
      <w:r w:rsidR="00670374" w:rsidRPr="002108FA">
        <w:t>s</w:t>
      </w:r>
      <w:r w:rsidRPr="002108FA">
        <w:t xml:space="preserve"> business can be split into two main phases:</w:t>
      </w:r>
    </w:p>
    <w:p w14:paraId="4598848E" w14:textId="768A0083" w:rsidR="009F0834" w:rsidRPr="002108FA" w:rsidRDefault="009F0834" w:rsidP="00CF0C93">
      <w:pPr>
        <w:pStyle w:val="ListParagraph"/>
        <w:numPr>
          <w:ilvl w:val="0"/>
          <w:numId w:val="42"/>
        </w:numPr>
        <w:ind w:left="568" w:hanging="284"/>
        <w:contextualSpacing w:val="0"/>
      </w:pPr>
      <w:r w:rsidRPr="002108FA">
        <w:rPr>
          <w:b/>
        </w:rPr>
        <w:t>Grant Authorisation</w:t>
      </w:r>
      <w:r w:rsidRPr="002108FA">
        <w:t>, which starts when an application for a customs decision is submitted by a trader or one of his representative</w:t>
      </w:r>
      <w:r w:rsidR="00357E63">
        <w:t>s</w:t>
      </w:r>
      <w:r w:rsidR="00AD3A80" w:rsidRPr="002108FA">
        <w:t>. This phase notably includes the consultation with involved MS</w:t>
      </w:r>
      <w:r w:rsidRPr="002108FA">
        <w:t xml:space="preserve"> and </w:t>
      </w:r>
      <w:r w:rsidR="00AD3A80" w:rsidRPr="002108FA">
        <w:t>it</w:t>
      </w:r>
      <w:r w:rsidRPr="002108FA">
        <w:t xml:space="preserve"> ends in one of the following case</w:t>
      </w:r>
      <w:r w:rsidR="00D02CBC">
        <w:t>s</w:t>
      </w:r>
      <w:r w:rsidRPr="002108FA">
        <w:t>:</w:t>
      </w:r>
    </w:p>
    <w:p w14:paraId="1AA78FFD" w14:textId="7BC2D329" w:rsidR="009F0834" w:rsidRPr="002108FA" w:rsidRDefault="009F0834" w:rsidP="00CF0C93">
      <w:pPr>
        <w:pStyle w:val="ListParagraph"/>
        <w:numPr>
          <w:ilvl w:val="1"/>
          <w:numId w:val="42"/>
        </w:numPr>
        <w:ind w:left="1441" w:hanging="284"/>
        <w:contextualSpacing w:val="0"/>
      </w:pPr>
      <w:r w:rsidRPr="002108FA">
        <w:t>Application is rejected</w:t>
      </w:r>
      <w:r w:rsidR="0020340E">
        <w:t xml:space="preserve"> (</w:t>
      </w:r>
      <w:r w:rsidR="00076B28">
        <w:t>i.e.</w:t>
      </w:r>
      <w:r w:rsidR="0020340E">
        <w:t xml:space="preserve"> the application is not accepted)</w:t>
      </w:r>
      <w:r w:rsidRPr="002108FA">
        <w:t>;</w:t>
      </w:r>
    </w:p>
    <w:p w14:paraId="5EE00AF8" w14:textId="66804C89" w:rsidR="009F0834" w:rsidRPr="002108FA" w:rsidRDefault="009F0834" w:rsidP="00CF0C93">
      <w:pPr>
        <w:pStyle w:val="ListParagraph"/>
        <w:numPr>
          <w:ilvl w:val="1"/>
          <w:numId w:val="42"/>
        </w:numPr>
        <w:ind w:left="1441" w:hanging="284"/>
        <w:contextualSpacing w:val="0"/>
      </w:pPr>
      <w:r w:rsidRPr="002108FA">
        <w:t>Application is withdrawn;</w:t>
      </w:r>
    </w:p>
    <w:p w14:paraId="630508EC" w14:textId="5E9C3284" w:rsidR="009F0834" w:rsidRPr="002108FA" w:rsidRDefault="009F0834" w:rsidP="00CF0C93">
      <w:pPr>
        <w:pStyle w:val="ListParagraph"/>
        <w:numPr>
          <w:ilvl w:val="1"/>
          <w:numId w:val="42"/>
        </w:numPr>
        <w:ind w:left="1441" w:hanging="284"/>
        <w:contextualSpacing w:val="0"/>
      </w:pPr>
      <w:r w:rsidRPr="002108FA">
        <w:t>Authorisation is granted;</w:t>
      </w:r>
    </w:p>
    <w:p w14:paraId="294AEAF7" w14:textId="4F1638BE" w:rsidR="009F0834" w:rsidRPr="002108FA" w:rsidRDefault="009F0834" w:rsidP="00CF0C93">
      <w:pPr>
        <w:pStyle w:val="ListParagraph"/>
        <w:numPr>
          <w:ilvl w:val="1"/>
          <w:numId w:val="42"/>
        </w:numPr>
        <w:ind w:left="1441" w:hanging="284"/>
        <w:contextualSpacing w:val="0"/>
      </w:pPr>
      <w:r w:rsidRPr="002108FA">
        <w:t>Authorisation is not granted.</w:t>
      </w:r>
    </w:p>
    <w:p w14:paraId="228BB8BA" w14:textId="0AEC35C5" w:rsidR="009F0834" w:rsidRPr="002108FA" w:rsidRDefault="009F0834" w:rsidP="00CF0C93">
      <w:pPr>
        <w:pStyle w:val="ListParagraph"/>
        <w:numPr>
          <w:ilvl w:val="0"/>
          <w:numId w:val="42"/>
        </w:numPr>
        <w:ind w:left="568" w:hanging="284"/>
        <w:contextualSpacing w:val="0"/>
      </w:pPr>
      <w:r w:rsidRPr="002108FA">
        <w:rPr>
          <w:b/>
        </w:rPr>
        <w:t>Manage Authorisation</w:t>
      </w:r>
      <w:r w:rsidRPr="002108FA">
        <w:t>, which starts as soon as the authorisation is granted. The authorisation continues living and can be updated in several manners. This second phase ends when the authorisation is not valid anymore.</w:t>
      </w:r>
    </w:p>
    <w:p w14:paraId="22D76ECE" w14:textId="16AE301D" w:rsidR="009F0834" w:rsidRPr="002108FA" w:rsidRDefault="009F0834" w:rsidP="009F0834"/>
    <w:p w14:paraId="041D9DCD" w14:textId="0636D211" w:rsidR="00A1708F" w:rsidRPr="002108FA" w:rsidRDefault="00AD3A80" w:rsidP="00AD3A80">
      <w:pPr>
        <w:pStyle w:val="Caption"/>
      </w:pPr>
      <w:r w:rsidRPr="00F53A0E">
        <w:object w:dxaOrig="8617" w:dyaOrig="4878" w14:anchorId="60938E68">
          <v:shape id="_x0000_i1028" type="#_x0000_t75" style="width:429pt;height:244.5pt" o:ole="">
            <v:imagedata r:id="rId26" o:title=""/>
          </v:shape>
          <o:OLEObject Type="Embed" ProgID="Visio.Drawing.11" ShapeID="_x0000_i1028" DrawAspect="Content" ObjectID="_1603282338" r:id="rId27"/>
        </w:object>
      </w:r>
      <w:r w:rsidR="00845DAC" w:rsidRPr="002108FA">
        <w:t xml:space="preserve">Figure </w:t>
      </w:r>
      <w:r w:rsidR="00964BE7" w:rsidRPr="00F53A0E">
        <w:fldChar w:fldCharType="begin"/>
      </w:r>
      <w:r w:rsidR="00964BE7" w:rsidRPr="002108FA">
        <w:instrText xml:space="preserve"> SEQ Figure \* ARABIC </w:instrText>
      </w:r>
      <w:r w:rsidR="00964BE7" w:rsidRPr="00F53A0E">
        <w:fldChar w:fldCharType="separate"/>
      </w:r>
      <w:r w:rsidR="006D18FB">
        <w:rPr>
          <w:noProof/>
        </w:rPr>
        <w:t>8</w:t>
      </w:r>
      <w:r w:rsidR="00964BE7" w:rsidRPr="00F53A0E">
        <w:rPr>
          <w:noProof/>
        </w:rPr>
        <w:fldChar w:fldCharType="end"/>
      </w:r>
      <w:r w:rsidR="00845DAC" w:rsidRPr="002108FA">
        <w:t xml:space="preserve"> High Level Process of Customs Decision</w:t>
      </w:r>
      <w:r w:rsidR="00670374" w:rsidRPr="002108FA">
        <w:t>s</w:t>
      </w:r>
      <w:r w:rsidR="00845DAC" w:rsidRPr="002108FA">
        <w:t xml:space="preserve"> Business</w:t>
      </w:r>
    </w:p>
    <w:p w14:paraId="33787378" w14:textId="652629C7" w:rsidR="009F0834" w:rsidRPr="002108FA" w:rsidRDefault="009F0834" w:rsidP="009F0834"/>
    <w:p w14:paraId="19AB02EF" w14:textId="77777777" w:rsidR="009F0834" w:rsidRPr="002108FA" w:rsidRDefault="009F0834" w:rsidP="009F0834"/>
    <w:p w14:paraId="4AF44457" w14:textId="1BFD174D" w:rsidR="009F0834" w:rsidRPr="002108FA" w:rsidRDefault="009F0834" w:rsidP="009F0834">
      <w:pPr>
        <w:pStyle w:val="Heading3"/>
      </w:pPr>
      <w:r w:rsidRPr="002108FA">
        <w:t>Grant Authorisation</w:t>
      </w:r>
    </w:p>
    <w:p w14:paraId="5773A230" w14:textId="2BA2C07D" w:rsidR="004406F7" w:rsidRPr="002108FA" w:rsidRDefault="004406F7" w:rsidP="004406F7">
      <w:r w:rsidRPr="002108FA">
        <w:t>In order to be granted an authorisation, the application must go through two main processes:</w:t>
      </w:r>
    </w:p>
    <w:p w14:paraId="1DBF399A" w14:textId="0B7810C6" w:rsidR="004406F7" w:rsidRPr="002108FA" w:rsidRDefault="004406F7" w:rsidP="00CF0C93">
      <w:pPr>
        <w:pStyle w:val="ListParagraph"/>
        <w:numPr>
          <w:ilvl w:val="0"/>
          <w:numId w:val="45"/>
        </w:numPr>
        <w:ind w:left="568" w:hanging="284"/>
        <w:contextualSpacing w:val="0"/>
      </w:pPr>
      <w:r w:rsidRPr="002108FA">
        <w:t>Accept Application;</w:t>
      </w:r>
    </w:p>
    <w:p w14:paraId="182824D8" w14:textId="1C1D89A9" w:rsidR="004406F7" w:rsidRPr="002108FA" w:rsidRDefault="004406F7" w:rsidP="00CF0C93">
      <w:pPr>
        <w:pStyle w:val="ListParagraph"/>
        <w:numPr>
          <w:ilvl w:val="0"/>
          <w:numId w:val="45"/>
        </w:numPr>
        <w:ind w:left="568" w:hanging="284"/>
        <w:contextualSpacing w:val="0"/>
      </w:pPr>
      <w:r w:rsidRPr="002108FA">
        <w:t>Take Decision.</w:t>
      </w:r>
    </w:p>
    <w:p w14:paraId="3436D41D" w14:textId="34CE5A00" w:rsidR="004406F7" w:rsidRPr="002108FA" w:rsidRDefault="004406F7" w:rsidP="004406F7">
      <w:proofErr w:type="gramStart"/>
      <w:r w:rsidRPr="002108FA">
        <w:t>The first one</w:t>
      </w:r>
      <w:r w:rsidR="00A15AC7" w:rsidRPr="002108FA">
        <w:t xml:space="preserve"> (</w:t>
      </w:r>
      <w:r w:rsidR="0091680C" w:rsidRPr="002108FA">
        <w:rPr>
          <w:b/>
        </w:rPr>
        <w:t>Accept Application</w:t>
      </w:r>
      <w:r w:rsidR="00A15AC7" w:rsidRPr="002108FA">
        <w:t>)</w:t>
      </w:r>
      <w:r w:rsidRPr="002108FA">
        <w:t xml:space="preserve"> aims at verifying that</w:t>
      </w:r>
      <w:r w:rsidR="00A15AC7" w:rsidRPr="002108FA">
        <w:t xml:space="preserve"> a first series of conditions (the conditions for acceptance)</w:t>
      </w:r>
      <w:r w:rsidRPr="002108FA">
        <w:t xml:space="preserve"> are validated.</w:t>
      </w:r>
      <w:proofErr w:type="gramEnd"/>
      <w:r w:rsidRPr="002108FA">
        <w:t xml:space="preserve"> As soon as all conditions for acceptance are positive, the next phase starts. This first step can last up to 30 days</w:t>
      </w:r>
      <w:r w:rsidR="00981C29" w:rsidRPr="002108FA">
        <w:t xml:space="preserve"> (Art. 22 (</w:t>
      </w:r>
      <w:r w:rsidR="00675AD6">
        <w:t>2</w:t>
      </w:r>
      <w:r w:rsidR="00981C29" w:rsidRPr="002108FA">
        <w:t>) UCC)</w:t>
      </w:r>
      <w:r w:rsidRPr="002108FA">
        <w:t xml:space="preserve"> (which can be slightly extended in case the customs authorities contact the trader to get more information).</w:t>
      </w:r>
    </w:p>
    <w:p w14:paraId="791CEE34" w14:textId="35E129C5" w:rsidR="004406F7" w:rsidRPr="002108FA" w:rsidRDefault="004406F7" w:rsidP="004406F7">
      <w:r w:rsidRPr="002108FA">
        <w:t>During the second phase</w:t>
      </w:r>
      <w:r w:rsidR="0091680C" w:rsidRPr="002108FA">
        <w:t xml:space="preserve"> – </w:t>
      </w:r>
      <w:r w:rsidR="0091680C" w:rsidRPr="002108FA">
        <w:rPr>
          <w:b/>
        </w:rPr>
        <w:t>Take Decision</w:t>
      </w:r>
      <w:r w:rsidRPr="002108FA">
        <w:t xml:space="preserve">, the customs officer will perform a more thorough analysis of the application and will further check whether the applicant satisfies the conditions and criteria to be granted the authorisation. </w:t>
      </w:r>
    </w:p>
    <w:p w14:paraId="50690737" w14:textId="59ED774E" w:rsidR="004406F7" w:rsidRPr="002108FA" w:rsidRDefault="004406F7" w:rsidP="004406F7">
      <w:r w:rsidRPr="002108FA">
        <w:t>To do so the decision-taking customs authority might require the help of the authorities of involved member states and/or request additional information to the trader. Communication with those stakeholders is therefore foreseen. On the other hand, the applicant can submit some adjustments t</w:t>
      </w:r>
      <w:r w:rsidR="00657F71" w:rsidRPr="002108FA">
        <w:t>o his</w:t>
      </w:r>
      <w:r w:rsidRPr="002108FA">
        <w:t xml:space="preserve"> application in order to help the customs officer to make a decision. This second phase lasts between 30 and 120 days</w:t>
      </w:r>
      <w:r w:rsidR="00981C29" w:rsidRPr="002108FA">
        <w:t xml:space="preserve"> (Art. 22 (2) UCC)</w:t>
      </w:r>
      <w:r w:rsidRPr="002108FA">
        <w:t xml:space="preserve"> (depending on the type of authorisation) and can be extended </w:t>
      </w:r>
      <w:r w:rsidR="006D4191" w:rsidRPr="002108FA">
        <w:t>under specific circumstances</w:t>
      </w:r>
      <w:r w:rsidRPr="002108FA">
        <w:t>.</w:t>
      </w:r>
    </w:p>
    <w:p w14:paraId="17EEA6CF" w14:textId="6F24A895" w:rsidR="009F0834" w:rsidRPr="002108FA" w:rsidRDefault="009F0834" w:rsidP="00D7399D">
      <w:pPr>
        <w:pStyle w:val="Heading3"/>
      </w:pPr>
      <w:r w:rsidRPr="002108FA">
        <w:t>Manage Authorisation</w:t>
      </w:r>
    </w:p>
    <w:p w14:paraId="5F879B07" w14:textId="77777777" w:rsidR="002D59F1" w:rsidRPr="002108FA" w:rsidRDefault="002D59F1" w:rsidP="002D59F1">
      <w:pPr>
        <w:pStyle w:val="Caption"/>
        <w:keepNext/>
      </w:pPr>
      <w:r w:rsidRPr="00F53A0E">
        <w:object w:dxaOrig="7281" w:dyaOrig="6373" w14:anchorId="48F35A3F">
          <v:shape id="_x0000_i1029" type="#_x0000_t75" style="width:362.25pt;height:318.75pt" o:ole="">
            <v:imagedata r:id="rId28" o:title=""/>
          </v:shape>
          <o:OLEObject Type="Embed" ProgID="Visio.Drawing.11" ShapeID="_x0000_i1029" DrawAspect="Content" ObjectID="_1603282339" r:id="rId29"/>
        </w:object>
      </w:r>
    </w:p>
    <w:p w14:paraId="128B2B4A" w14:textId="38863F2C" w:rsidR="002D59F1" w:rsidRPr="002108FA" w:rsidRDefault="002D59F1" w:rsidP="002D59F1">
      <w:pPr>
        <w:pStyle w:val="Caption"/>
      </w:pPr>
      <w:r w:rsidRPr="002108FA">
        <w:t xml:space="preserve">Figure </w:t>
      </w:r>
      <w:r w:rsidR="00964BE7" w:rsidRPr="00F53A0E">
        <w:fldChar w:fldCharType="begin"/>
      </w:r>
      <w:r w:rsidR="00964BE7" w:rsidRPr="002108FA">
        <w:instrText xml:space="preserve"> SEQ Figure \* ARABIC </w:instrText>
      </w:r>
      <w:r w:rsidR="00964BE7" w:rsidRPr="00F53A0E">
        <w:fldChar w:fldCharType="separate"/>
      </w:r>
      <w:r w:rsidR="006D18FB">
        <w:rPr>
          <w:noProof/>
        </w:rPr>
        <w:t>9</w:t>
      </w:r>
      <w:r w:rsidR="00964BE7" w:rsidRPr="00F53A0E">
        <w:rPr>
          <w:noProof/>
        </w:rPr>
        <w:fldChar w:fldCharType="end"/>
      </w:r>
      <w:r w:rsidRPr="002108FA">
        <w:t xml:space="preserve"> Actions that can be performed when an authorisation is granted</w:t>
      </w:r>
    </w:p>
    <w:p w14:paraId="082B6134" w14:textId="530FA3F8" w:rsidR="004406F7" w:rsidRPr="002108FA" w:rsidRDefault="004406F7" w:rsidP="004406F7">
      <w:r w:rsidRPr="002108FA">
        <w:t xml:space="preserve">As soon as an authorisation is granted to a trader, further actions can still be performed on that authorisation: </w:t>
      </w:r>
    </w:p>
    <w:p w14:paraId="06A9D7B7" w14:textId="2BCDE57E" w:rsidR="00423C5B" w:rsidRPr="002108FA" w:rsidRDefault="00423C5B" w:rsidP="00CF0C93">
      <w:pPr>
        <w:pStyle w:val="ListParagraph"/>
        <w:numPr>
          <w:ilvl w:val="0"/>
          <w:numId w:val="45"/>
        </w:numPr>
        <w:ind w:left="568" w:hanging="284"/>
        <w:contextualSpacing w:val="0"/>
      </w:pPr>
      <w:r w:rsidRPr="002108FA">
        <w:t>Do nothing: the authorisation is fine and can remain active;</w:t>
      </w:r>
    </w:p>
    <w:p w14:paraId="52728F2E" w14:textId="7F64B750" w:rsidR="004406F7" w:rsidRPr="002108FA" w:rsidRDefault="004406F7" w:rsidP="00CF0C93">
      <w:pPr>
        <w:pStyle w:val="ListParagraph"/>
        <w:numPr>
          <w:ilvl w:val="0"/>
          <w:numId w:val="45"/>
        </w:numPr>
        <w:ind w:left="568" w:hanging="284"/>
        <w:contextualSpacing w:val="0"/>
      </w:pPr>
      <w:r w:rsidRPr="002108FA">
        <w:t>Amend the decision, which aims at updating one or more data elements of the authorisation</w:t>
      </w:r>
      <w:r w:rsidR="00981C29" w:rsidRPr="002108FA">
        <w:t xml:space="preserve"> (Art. 22 UCC, 23 UCC, 28 UCC, 10 IA)</w:t>
      </w:r>
      <w:r w:rsidRPr="002108FA">
        <w:t>;</w:t>
      </w:r>
    </w:p>
    <w:p w14:paraId="6B713DE5" w14:textId="78C53983" w:rsidR="004406F7" w:rsidRPr="002108FA" w:rsidRDefault="004406F7" w:rsidP="00CF0C93">
      <w:pPr>
        <w:pStyle w:val="ListParagraph"/>
        <w:numPr>
          <w:ilvl w:val="0"/>
          <w:numId w:val="45"/>
        </w:numPr>
        <w:ind w:left="568" w:hanging="284"/>
        <w:contextualSpacing w:val="0"/>
      </w:pPr>
      <w:r w:rsidRPr="002108FA">
        <w:t>Suspend the decision during a certain time, during which it is not valid anymore</w:t>
      </w:r>
      <w:r w:rsidR="00981C29" w:rsidRPr="002108FA">
        <w:t xml:space="preserve"> (Art. </w:t>
      </w:r>
      <w:r w:rsidR="002F38F3" w:rsidRPr="002108FA">
        <w:t>16 DA, 17 DA, 18 DA, 6 UCC,</w:t>
      </w:r>
      <w:r w:rsidR="00981C29" w:rsidRPr="002108FA">
        <w:t xml:space="preserve"> 10 IA)</w:t>
      </w:r>
      <w:r w:rsidRPr="002108FA">
        <w:t>;</w:t>
      </w:r>
    </w:p>
    <w:p w14:paraId="17589929" w14:textId="3CCBEEFC" w:rsidR="00C85888" w:rsidRPr="002108FA" w:rsidRDefault="00C85888" w:rsidP="00CF0C93">
      <w:pPr>
        <w:pStyle w:val="ListParagraph"/>
        <w:numPr>
          <w:ilvl w:val="0"/>
          <w:numId w:val="45"/>
        </w:numPr>
        <w:ind w:left="568" w:hanging="284"/>
        <w:contextualSpacing w:val="0"/>
      </w:pPr>
      <w:r w:rsidRPr="002108FA">
        <w:t xml:space="preserve">Re-assess the decision, which aims at verifying that the granted authorisation is still satisfying the </w:t>
      </w:r>
      <w:r w:rsidR="00423C5B" w:rsidRPr="002108FA">
        <w:t>initial conditions and criteria</w:t>
      </w:r>
      <w:r w:rsidR="00981C29" w:rsidRPr="002108FA">
        <w:t xml:space="preserve"> (Art. 15 DA)</w:t>
      </w:r>
      <w:r w:rsidR="00423C5B" w:rsidRPr="002108FA">
        <w:t>;</w:t>
      </w:r>
    </w:p>
    <w:p w14:paraId="192F85B7" w14:textId="375C5679" w:rsidR="00744924" w:rsidRPr="002108FA" w:rsidRDefault="00744924" w:rsidP="00CF0C93">
      <w:pPr>
        <w:pStyle w:val="ListParagraph"/>
        <w:numPr>
          <w:ilvl w:val="0"/>
          <w:numId w:val="45"/>
        </w:numPr>
        <w:ind w:left="568" w:hanging="284"/>
        <w:contextualSpacing w:val="0"/>
      </w:pPr>
      <w:r w:rsidRPr="002108FA">
        <w:t>Annul the decision, which aims at making the decision not usable anymore – like it has never existed</w:t>
      </w:r>
      <w:r w:rsidR="00981C29" w:rsidRPr="002108FA">
        <w:t xml:space="preserve"> (Art. 23 UCC, 27 UCC, 10 IA)</w:t>
      </w:r>
      <w:r w:rsidR="002B1C73" w:rsidRPr="002108FA">
        <w:t>;</w:t>
      </w:r>
    </w:p>
    <w:p w14:paraId="7883129B" w14:textId="6161B4D5" w:rsidR="00407C42" w:rsidRPr="00DE58D4" w:rsidRDefault="004406F7" w:rsidP="00774E49">
      <w:pPr>
        <w:pStyle w:val="ListParagraph"/>
        <w:numPr>
          <w:ilvl w:val="0"/>
          <w:numId w:val="45"/>
        </w:numPr>
        <w:ind w:left="568" w:hanging="284"/>
        <w:contextualSpacing w:val="0"/>
      </w:pPr>
      <w:r w:rsidRPr="002108FA">
        <w:t xml:space="preserve">Revoke </w:t>
      </w:r>
      <w:r w:rsidR="00C85888" w:rsidRPr="002108FA">
        <w:t>the</w:t>
      </w:r>
      <w:r w:rsidRPr="002108FA">
        <w:t xml:space="preserve"> decision, which aims at making the decision not usable anymore – but </w:t>
      </w:r>
      <w:r w:rsidR="00423C5B" w:rsidRPr="002108FA">
        <w:t>ke</w:t>
      </w:r>
      <w:r w:rsidR="00744924" w:rsidRPr="002108FA">
        <w:t>eping track of it</w:t>
      </w:r>
      <w:r w:rsidR="00981C29" w:rsidRPr="002108FA">
        <w:t xml:space="preserve"> (Art. 22 UCC, 23 UCC, 28 UCC, 16 DA, 18 DA, </w:t>
      </w:r>
      <w:r w:rsidR="002F38F3" w:rsidRPr="00DD3BB0">
        <w:t xml:space="preserve">10 IA, </w:t>
      </w:r>
      <w:r w:rsidR="00981C29" w:rsidRPr="008F202C">
        <w:t xml:space="preserve">15 IA, </w:t>
      </w:r>
      <w:proofErr w:type="gramStart"/>
      <w:r w:rsidR="00981C29" w:rsidRPr="008F202C">
        <w:t>259</w:t>
      </w:r>
      <w:proofErr w:type="gramEnd"/>
      <w:r w:rsidR="00981C29" w:rsidRPr="008F202C">
        <w:t xml:space="preserve"> IA)</w:t>
      </w:r>
      <w:r w:rsidR="00744924" w:rsidRPr="008F202C">
        <w:t>.</w:t>
      </w:r>
    </w:p>
    <w:p w14:paraId="2487C536" w14:textId="48030190" w:rsidR="00C85888" w:rsidRPr="002108FA" w:rsidRDefault="00740B6D" w:rsidP="00740B6D">
      <w:pPr>
        <w:pStyle w:val="Heading3"/>
      </w:pPr>
      <w:r w:rsidRPr="002108FA">
        <w:t>Notification to Involved Member States</w:t>
      </w:r>
    </w:p>
    <w:p w14:paraId="111C857D" w14:textId="458D8E0C" w:rsidR="00740B6D" w:rsidRPr="002108FA" w:rsidRDefault="00740B6D" w:rsidP="00CF0C93">
      <w:r w:rsidRPr="002108FA">
        <w:t>Some authorisations will involve more than one member state. Those involved member states are computed upon submission of the application, by the Customs Decision</w:t>
      </w:r>
      <w:r w:rsidR="00670374" w:rsidRPr="002108FA">
        <w:t>s</w:t>
      </w:r>
      <w:r w:rsidRPr="002108FA">
        <w:t xml:space="preserve"> system, based on the geographical validity requested by the applicant.</w:t>
      </w:r>
    </w:p>
    <w:p w14:paraId="10717A23" w14:textId="71010DB9" w:rsidR="006E6F6C" w:rsidRPr="002108FA" w:rsidRDefault="006E6F6C" w:rsidP="00CF0C93">
      <w:r w:rsidRPr="002108FA">
        <w:t xml:space="preserve">The potential involved MS may be </w:t>
      </w:r>
      <w:r w:rsidRPr="002108FA">
        <w:rPr>
          <w:b/>
        </w:rPr>
        <w:t>consulted</w:t>
      </w:r>
      <w:r w:rsidRPr="002108FA">
        <w:t xml:space="preserve"> by the decision-taking customs authority before granting the decision</w:t>
      </w:r>
      <w:r w:rsidR="00E5200E" w:rsidRPr="002108FA">
        <w:t xml:space="preserve"> (Art. 14 IA)</w:t>
      </w:r>
      <w:r w:rsidRPr="002108FA">
        <w:t>. In addition, the list of effectively involved MS (i.e. which will be granted by the customs officer) will anyway be notified of the granting of any authorisation for which they are involved.</w:t>
      </w:r>
    </w:p>
    <w:p w14:paraId="1F434A30" w14:textId="559FE08A" w:rsidR="00740B6D" w:rsidRPr="002108FA" w:rsidRDefault="006E6F6C" w:rsidP="00CF0C93">
      <w:r w:rsidRPr="002108FA">
        <w:t xml:space="preserve">Once the authorisation is granted, the involved MS </w:t>
      </w:r>
      <w:r w:rsidR="00740B6D" w:rsidRPr="002108FA">
        <w:t xml:space="preserve">should be informed when any change </w:t>
      </w:r>
      <w:r w:rsidRPr="002108FA">
        <w:t>arises</w:t>
      </w:r>
      <w:r w:rsidR="00740B6D" w:rsidRPr="002108FA">
        <w:t xml:space="preserve"> in one of the authorisations for which they are involved.</w:t>
      </w:r>
      <w:r w:rsidRPr="002108FA">
        <w:t xml:space="preserve"> Therefore</w:t>
      </w:r>
      <w:r w:rsidR="002D59F1" w:rsidRPr="002108FA">
        <w:t>,</w:t>
      </w:r>
      <w:r w:rsidRPr="002108FA">
        <w:t xml:space="preserve"> during each process implying a change of status of an authorisation and/or a change in the data composing an authorisation, the involved MS are automatically informed of the updates.</w:t>
      </w:r>
    </w:p>
    <w:p w14:paraId="76E4C4DA" w14:textId="5F49BEAF" w:rsidR="007930C1" w:rsidRPr="00F53A0E" w:rsidRDefault="007930C1" w:rsidP="00AC44B1">
      <w:pPr>
        <w:pStyle w:val="Heading2"/>
      </w:pPr>
      <w:r w:rsidRPr="00F53A0E">
        <w:t>Migration of existing authorisations</w:t>
      </w:r>
    </w:p>
    <w:p w14:paraId="59B1D7EF" w14:textId="20BCBEA0" w:rsidR="00B7186E" w:rsidRPr="00AE11EE" w:rsidRDefault="00B7186E">
      <w:pPr>
        <w:rPr>
          <w:szCs w:val="20"/>
        </w:rPr>
      </w:pPr>
      <w:r>
        <w:t xml:space="preserve">Since no-paper based version of the applications and authorisations can be handled as of the date of entry </w:t>
      </w:r>
      <w:r w:rsidRPr="00AE11EE">
        <w:rPr>
          <w:szCs w:val="20"/>
        </w:rPr>
        <w:t>in production of the Customs Decisions system, the existing authorisations need to be migrated.</w:t>
      </w:r>
    </w:p>
    <w:p w14:paraId="6C1E8B08" w14:textId="7A3A8419" w:rsidR="00190DBA" w:rsidRPr="00AE11EE" w:rsidRDefault="007930C1">
      <w:pPr>
        <w:rPr>
          <w:szCs w:val="20"/>
        </w:rPr>
      </w:pPr>
      <w:r w:rsidRPr="00AE11EE">
        <w:rPr>
          <w:szCs w:val="20"/>
        </w:rPr>
        <w:t xml:space="preserve">If </w:t>
      </w:r>
      <w:r w:rsidR="00964BE7" w:rsidRPr="00AE11EE">
        <w:rPr>
          <w:szCs w:val="20"/>
        </w:rPr>
        <w:t xml:space="preserve">the </w:t>
      </w:r>
      <w:r w:rsidRPr="00AE11EE">
        <w:rPr>
          <w:szCs w:val="20"/>
        </w:rPr>
        <w:t>authorisation has been issued before 01/05/2016</w:t>
      </w:r>
      <w:r w:rsidR="00964BE7" w:rsidRPr="00AE11EE">
        <w:rPr>
          <w:szCs w:val="20"/>
        </w:rPr>
        <w:t>,</w:t>
      </w:r>
      <w:r w:rsidRPr="00AE11EE">
        <w:rPr>
          <w:szCs w:val="20"/>
        </w:rPr>
        <w:t xml:space="preserve"> it </w:t>
      </w:r>
      <w:r w:rsidR="00DE58D4" w:rsidRPr="00AE11EE">
        <w:rPr>
          <w:szCs w:val="20"/>
        </w:rPr>
        <w:t>shall</w:t>
      </w:r>
      <w:r w:rsidRPr="00AE11EE">
        <w:rPr>
          <w:szCs w:val="20"/>
        </w:rPr>
        <w:t xml:space="preserve"> be re</w:t>
      </w:r>
      <w:r w:rsidR="00B7186E" w:rsidRPr="00AE11EE">
        <w:rPr>
          <w:szCs w:val="20"/>
        </w:rPr>
        <w:t>-</w:t>
      </w:r>
      <w:r w:rsidRPr="00AE11EE">
        <w:rPr>
          <w:szCs w:val="20"/>
        </w:rPr>
        <w:t>assessed before 01/05/2019 (as per Art. 345 IA</w:t>
      </w:r>
      <w:r w:rsidR="00190DBA" w:rsidRPr="00AE11EE">
        <w:rPr>
          <w:szCs w:val="20"/>
        </w:rPr>
        <w:t xml:space="preserve"> and Art. 250(1) DA)</w:t>
      </w:r>
      <w:r w:rsidR="00964BE7" w:rsidRPr="00AE11EE">
        <w:rPr>
          <w:szCs w:val="20"/>
        </w:rPr>
        <w:t xml:space="preserve">. </w:t>
      </w:r>
      <w:r w:rsidR="00190DBA" w:rsidRPr="00AE11EE">
        <w:rPr>
          <w:szCs w:val="20"/>
        </w:rPr>
        <w:t>Where appropriate, a new authorisation shall be granted and must be introduced in the system (the re</w:t>
      </w:r>
      <w:r w:rsidR="00B7186E" w:rsidRPr="00AE11EE">
        <w:rPr>
          <w:szCs w:val="20"/>
        </w:rPr>
        <w:t>-</w:t>
      </w:r>
      <w:r w:rsidR="00190DBA" w:rsidRPr="00AE11EE">
        <w:rPr>
          <w:szCs w:val="20"/>
        </w:rPr>
        <w:t>assessed authorisation is revoked). If a new authorisation is not needed, the re</w:t>
      </w:r>
      <w:r w:rsidR="00B7186E" w:rsidRPr="00AE11EE">
        <w:rPr>
          <w:szCs w:val="20"/>
        </w:rPr>
        <w:t>-</w:t>
      </w:r>
      <w:r w:rsidR="00190DBA" w:rsidRPr="00AE11EE">
        <w:rPr>
          <w:szCs w:val="20"/>
        </w:rPr>
        <w:t>assessed authorisation is revoked (and not encoded).</w:t>
      </w:r>
    </w:p>
    <w:p w14:paraId="097EC49F" w14:textId="2A45A669" w:rsidR="007930C1" w:rsidRPr="00AE11EE" w:rsidRDefault="007930C1" w:rsidP="00AC44B1">
      <w:pPr>
        <w:spacing w:before="120"/>
        <w:rPr>
          <w:szCs w:val="20"/>
        </w:rPr>
      </w:pPr>
      <w:r w:rsidRPr="00AE11EE">
        <w:rPr>
          <w:szCs w:val="20"/>
        </w:rPr>
        <w:t>If the authorisation has been issued between 01/05/2016 and the date of entry in production of the system</w:t>
      </w:r>
      <w:r w:rsidR="00964BE7" w:rsidRPr="00AE11EE">
        <w:rPr>
          <w:szCs w:val="20"/>
        </w:rPr>
        <w:t xml:space="preserve">, the </w:t>
      </w:r>
      <w:r w:rsidR="00964BE7" w:rsidRPr="00AE11EE">
        <w:rPr>
          <w:rFonts w:cs="Arial"/>
          <w:szCs w:val="20"/>
        </w:rPr>
        <w:t>authorisation may not contain all data elements required in the system (</w:t>
      </w:r>
      <w:r w:rsidR="00190DBA" w:rsidRPr="00AE11EE">
        <w:rPr>
          <w:rFonts w:cs="Arial"/>
          <w:szCs w:val="20"/>
        </w:rPr>
        <w:t>as per Art. 2(4) IA</w:t>
      </w:r>
      <w:r w:rsidR="00964BE7" w:rsidRPr="00AE11EE">
        <w:rPr>
          <w:rFonts w:cs="Arial"/>
          <w:szCs w:val="20"/>
        </w:rPr>
        <w:t>). In this case, the customs authorities need to request the missing information to the trader before introducing it in the system. All authorisations will be encoded in the system (if still active).</w:t>
      </w:r>
    </w:p>
    <w:p w14:paraId="318FD4D2" w14:textId="19B3D354" w:rsidR="00740B6D" w:rsidRPr="00190DBA" w:rsidRDefault="00740B6D" w:rsidP="00CF0C93"/>
    <w:sectPr w:rsidR="00740B6D" w:rsidRPr="00190DBA" w:rsidSect="0056695E">
      <w:headerReference w:type="default" r:id="rId30"/>
      <w:footerReference w:type="default" r:id="rId31"/>
      <w:pgSz w:w="11906" w:h="16838"/>
      <w:pgMar w:top="2100" w:right="1417" w:bottom="1417" w:left="1417" w:header="719"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80E30" w14:textId="77777777" w:rsidR="00D54675" w:rsidRDefault="00D54675">
      <w:r>
        <w:separator/>
      </w:r>
    </w:p>
  </w:endnote>
  <w:endnote w:type="continuationSeparator" w:id="0">
    <w:p w14:paraId="4D2C3438" w14:textId="77777777" w:rsidR="00D54675" w:rsidRDefault="00D54675">
      <w:r>
        <w:continuationSeparator/>
      </w:r>
    </w:p>
  </w:endnote>
  <w:endnote w:type="continuationNotice" w:id="1">
    <w:p w14:paraId="1F3D9511" w14:textId="77777777" w:rsidR="00D54675" w:rsidRDefault="00D546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OE- Roman">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BEHIZ+Palatino-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865985"/>
      <w:docPartObj>
        <w:docPartGallery w:val="Page Numbers (Bottom of Page)"/>
        <w:docPartUnique/>
      </w:docPartObj>
    </w:sdtPr>
    <w:sdtEndPr>
      <w:rPr>
        <w:noProof/>
      </w:rPr>
    </w:sdtEndPr>
    <w:sdtContent>
      <w:p w14:paraId="76DA6679" w14:textId="68977EF7" w:rsidR="00D54675" w:rsidRDefault="00D54675">
        <w:pPr>
          <w:pStyle w:val="Footer"/>
          <w:jc w:val="center"/>
        </w:pPr>
        <w:r>
          <w:fldChar w:fldCharType="begin"/>
        </w:r>
        <w:r>
          <w:instrText xml:space="preserve"> PAGE   \* MERGEFORMAT </w:instrText>
        </w:r>
        <w:r>
          <w:fldChar w:fldCharType="separate"/>
        </w:r>
        <w:r w:rsidR="005B70F8">
          <w:rPr>
            <w:noProof/>
          </w:rPr>
          <w:t>1</w:t>
        </w:r>
        <w:r>
          <w:rPr>
            <w:noProof/>
          </w:rPr>
          <w:fldChar w:fldCharType="end"/>
        </w:r>
      </w:p>
    </w:sdtContent>
  </w:sdt>
  <w:p w14:paraId="34865883" w14:textId="77777777" w:rsidR="00D54675" w:rsidRDefault="00D546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B6F96" w14:textId="77777777" w:rsidR="00D54675" w:rsidRDefault="00D54675">
      <w:r>
        <w:separator/>
      </w:r>
    </w:p>
  </w:footnote>
  <w:footnote w:type="continuationSeparator" w:id="0">
    <w:p w14:paraId="123EB5E0" w14:textId="77777777" w:rsidR="00D54675" w:rsidRDefault="00D54675">
      <w:r>
        <w:continuationSeparator/>
      </w:r>
    </w:p>
  </w:footnote>
  <w:footnote w:type="continuationNotice" w:id="1">
    <w:p w14:paraId="05E54BDC" w14:textId="77777777" w:rsidR="00D54675" w:rsidRDefault="00D54675">
      <w:pPr>
        <w:spacing w:after="0"/>
      </w:pPr>
    </w:p>
  </w:footnote>
  <w:footnote w:id="2">
    <w:p w14:paraId="0708B817" w14:textId="3644B836" w:rsidR="00D54675" w:rsidRPr="003715A7" w:rsidRDefault="00D54675" w:rsidP="00FF71F2">
      <w:pPr>
        <w:pStyle w:val="FootnoteText"/>
      </w:pPr>
      <w:r>
        <w:rPr>
          <w:rStyle w:val="FootnoteReference"/>
        </w:rPr>
        <w:footnoteRef/>
      </w:r>
      <w:r>
        <w:t xml:space="preserve"> The CCN2 role name can be obtained by concatenating “CCN2.Role.CDMS.” with the CDMS role name stylised as Camel case. For example, the CCN2 equivalent of CDMS role named “Accept Customs Application” is “CCN2.Role.CDMS.AcceptCustomsApplication”.</w:t>
      </w:r>
    </w:p>
  </w:footnote>
  <w:footnote w:id="3">
    <w:p w14:paraId="395EB323" w14:textId="4F693CCD" w:rsidR="00D54675" w:rsidRPr="006D4191" w:rsidRDefault="00D54675">
      <w:pPr>
        <w:pStyle w:val="FootnoteText"/>
        <w:rPr>
          <w:b/>
        </w:rPr>
      </w:pPr>
      <w:r w:rsidRPr="006D4191">
        <w:rPr>
          <w:rStyle w:val="FootnoteReference"/>
          <w:b/>
        </w:rPr>
        <w:footnoteRef/>
      </w:r>
      <w:r>
        <w:t xml:space="preserve"> </w:t>
      </w:r>
      <w:r w:rsidRPr="006D4191">
        <w:t>also known as “Standard Process”</w:t>
      </w:r>
      <w:r>
        <w:t xml:space="preserve"> applications, notably in the business processes referred to in section </w:t>
      </w:r>
      <w:r>
        <w:fldChar w:fldCharType="begin"/>
      </w:r>
      <w:r>
        <w:instrText xml:space="preserve"> REF _Ref484095787 \r \h </w:instrText>
      </w:r>
      <w:r>
        <w:fldChar w:fldCharType="separate"/>
      </w:r>
      <w:r w:rsidR="00C54033">
        <w:t>1.1.3</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B0BFD" w14:textId="77777777" w:rsidR="00D54675" w:rsidRPr="00D6659F" w:rsidRDefault="00D54675" w:rsidP="009A5DA5">
    <w:pPr>
      <w:pStyle w:val="Header"/>
    </w:pPr>
  </w:p>
  <w:p w14:paraId="1317932C" w14:textId="77777777" w:rsidR="00D54675" w:rsidRPr="008C7CBE" w:rsidRDefault="00D54675" w:rsidP="009A5DA5">
    <w:pPr>
      <w:pStyle w:val="Header"/>
    </w:pPr>
  </w:p>
  <w:p w14:paraId="0A75C38C" w14:textId="77777777" w:rsidR="00D54675" w:rsidRPr="009A5DA5" w:rsidRDefault="00D54675" w:rsidP="009A5DA5">
    <w:pPr>
      <w:pStyle w:val="Header"/>
    </w:pPr>
  </w:p>
  <w:p w14:paraId="62DB8D0D" w14:textId="77777777" w:rsidR="00D54675" w:rsidRDefault="00D546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400F2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7951E0"/>
    <w:multiLevelType w:val="hybridMultilevel"/>
    <w:tmpl w:val="97A414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2F75E92"/>
    <w:multiLevelType w:val="multilevel"/>
    <w:tmpl w:val="B666FD9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004"/>
        </w:tabs>
        <w:ind w:left="1004"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692"/>
        </w:tabs>
        <w:ind w:left="169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076259ED"/>
    <w:multiLevelType w:val="hybridMultilevel"/>
    <w:tmpl w:val="659EEF0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7951F8C"/>
    <w:multiLevelType w:val="hybridMultilevel"/>
    <w:tmpl w:val="C2BAFBB4"/>
    <w:lvl w:ilvl="0" w:tplc="D450BB66">
      <w:start w:val="1"/>
      <w:numFmt w:val="bullet"/>
      <w:pStyle w:val="minutes"/>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8403590"/>
    <w:multiLevelType w:val="hybridMultilevel"/>
    <w:tmpl w:val="444A4FC0"/>
    <w:lvl w:ilvl="0" w:tplc="552AA5E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OE-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OE- Roman"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OE- Roman"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D360473"/>
    <w:multiLevelType w:val="hybridMultilevel"/>
    <w:tmpl w:val="21F4E04C"/>
    <w:lvl w:ilvl="0" w:tplc="BCF6ADBC">
      <w:start w:val="1"/>
      <w:numFmt w:val="decimal"/>
      <w:lvlText w:val="Subject %1."/>
      <w:lvlJc w:val="left"/>
      <w:pPr>
        <w:ind w:left="720" w:hanging="360"/>
      </w:pPr>
      <w:rPr>
        <w:rFonts w:hint="default"/>
      </w:rPr>
    </w:lvl>
    <w:lvl w:ilvl="1" w:tplc="17FA44A6">
      <w:numFmt w:val="bullet"/>
      <w:lvlText w:val="-"/>
      <w:lvlJc w:val="left"/>
      <w:pPr>
        <w:ind w:left="1440" w:hanging="360"/>
      </w:pPr>
      <w:rPr>
        <w:rFonts w:ascii="Arial" w:eastAsia="PMingLiU"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A046FB"/>
    <w:multiLevelType w:val="hybridMultilevel"/>
    <w:tmpl w:val="46521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C30445"/>
    <w:multiLevelType w:val="hybridMultilevel"/>
    <w:tmpl w:val="0ED461AE"/>
    <w:lvl w:ilvl="0" w:tplc="C58E79A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4227FA7"/>
    <w:multiLevelType w:val="hybridMultilevel"/>
    <w:tmpl w:val="F86C0880"/>
    <w:lvl w:ilvl="0" w:tplc="A8322662">
      <w:start w:val="1"/>
      <w:numFmt w:val="bullet"/>
      <w:pStyle w:val="sousrubrique"/>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5080D2F"/>
    <w:multiLevelType w:val="hybridMultilevel"/>
    <w:tmpl w:val="92820B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8EE0BCD"/>
    <w:multiLevelType w:val="hybridMultilevel"/>
    <w:tmpl w:val="1C6E1220"/>
    <w:lvl w:ilvl="0" w:tplc="6FDEF09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C7596E"/>
    <w:multiLevelType w:val="hybridMultilevel"/>
    <w:tmpl w:val="5A3AD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BD2AC7"/>
    <w:multiLevelType w:val="hybridMultilevel"/>
    <w:tmpl w:val="F78077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1B66D1B"/>
    <w:multiLevelType w:val="hybridMultilevel"/>
    <w:tmpl w:val="0B260E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OE-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OE-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OE- 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1F03466"/>
    <w:multiLevelType w:val="hybridMultilevel"/>
    <w:tmpl w:val="6F0ED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CC7A49"/>
    <w:multiLevelType w:val="multilevel"/>
    <w:tmpl w:val="2700AFA8"/>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cs="Times New Roman" w:hint="default"/>
        <w:sz w:val="20"/>
      </w:rPr>
    </w:lvl>
    <w:lvl w:ilvl="2">
      <w:start w:val="1"/>
      <w:numFmt w:val="bullet"/>
      <w:lvlText w:val=""/>
      <w:lvlJc w:val="left"/>
      <w:pPr>
        <w:tabs>
          <w:tab w:val="num" w:pos="2084"/>
        </w:tabs>
        <w:ind w:left="2084" w:hanging="360"/>
      </w:pPr>
      <w:rPr>
        <w:rFonts w:ascii="Wingdings" w:hAnsi="Wingdings" w:hint="default"/>
        <w:sz w:val="20"/>
      </w:rPr>
    </w:lvl>
    <w:lvl w:ilvl="3">
      <w:start w:val="1"/>
      <w:numFmt w:val="bullet"/>
      <w:lvlText w:val=""/>
      <w:lvlJc w:val="left"/>
      <w:pPr>
        <w:tabs>
          <w:tab w:val="num" w:pos="2804"/>
        </w:tabs>
        <w:ind w:left="2804" w:hanging="360"/>
      </w:pPr>
      <w:rPr>
        <w:rFonts w:ascii="Symbol" w:hAnsi="Symbol" w:hint="default"/>
        <w:sz w:val="20"/>
      </w:rPr>
    </w:lvl>
    <w:lvl w:ilvl="4">
      <w:start w:val="1"/>
      <w:numFmt w:val="bullet"/>
      <w:lvlText w:val=""/>
      <w:lvlJc w:val="left"/>
      <w:pPr>
        <w:tabs>
          <w:tab w:val="num" w:pos="3524"/>
        </w:tabs>
        <w:ind w:left="3524" w:hanging="360"/>
      </w:pPr>
      <w:rPr>
        <w:rFonts w:ascii="Symbol" w:hAnsi="Symbol" w:hint="default"/>
        <w:sz w:val="20"/>
      </w:rPr>
    </w:lvl>
    <w:lvl w:ilvl="5">
      <w:start w:val="1"/>
      <w:numFmt w:val="bullet"/>
      <w:lvlText w:val=""/>
      <w:lvlJc w:val="left"/>
      <w:pPr>
        <w:tabs>
          <w:tab w:val="num" w:pos="4244"/>
        </w:tabs>
        <w:ind w:left="4244" w:hanging="360"/>
      </w:pPr>
      <w:rPr>
        <w:rFonts w:ascii="Symbol" w:hAnsi="Symbol" w:hint="default"/>
        <w:sz w:val="20"/>
      </w:rPr>
    </w:lvl>
    <w:lvl w:ilvl="6">
      <w:start w:val="1"/>
      <w:numFmt w:val="bullet"/>
      <w:lvlText w:val=""/>
      <w:lvlJc w:val="left"/>
      <w:pPr>
        <w:tabs>
          <w:tab w:val="num" w:pos="4964"/>
        </w:tabs>
        <w:ind w:left="4964" w:hanging="360"/>
      </w:pPr>
      <w:rPr>
        <w:rFonts w:ascii="Symbol" w:hAnsi="Symbol" w:hint="default"/>
        <w:sz w:val="20"/>
      </w:rPr>
    </w:lvl>
    <w:lvl w:ilvl="7">
      <w:start w:val="1"/>
      <w:numFmt w:val="bullet"/>
      <w:lvlText w:val=""/>
      <w:lvlJc w:val="left"/>
      <w:pPr>
        <w:tabs>
          <w:tab w:val="num" w:pos="5684"/>
        </w:tabs>
        <w:ind w:left="5684" w:hanging="360"/>
      </w:pPr>
      <w:rPr>
        <w:rFonts w:ascii="Symbol" w:hAnsi="Symbol" w:hint="default"/>
        <w:sz w:val="20"/>
      </w:rPr>
    </w:lvl>
    <w:lvl w:ilvl="8">
      <w:start w:val="1"/>
      <w:numFmt w:val="bullet"/>
      <w:lvlText w:val=""/>
      <w:lvlJc w:val="left"/>
      <w:pPr>
        <w:tabs>
          <w:tab w:val="num" w:pos="6404"/>
        </w:tabs>
        <w:ind w:left="6404" w:hanging="360"/>
      </w:pPr>
      <w:rPr>
        <w:rFonts w:ascii="Symbol" w:hAnsi="Symbol" w:hint="default"/>
        <w:sz w:val="20"/>
      </w:rPr>
    </w:lvl>
  </w:abstractNum>
  <w:abstractNum w:abstractNumId="17">
    <w:nsid w:val="23FE0E63"/>
    <w:multiLevelType w:val="hybridMultilevel"/>
    <w:tmpl w:val="1E923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73A1E81"/>
    <w:multiLevelType w:val="hybridMultilevel"/>
    <w:tmpl w:val="C32053C6"/>
    <w:lvl w:ilvl="0" w:tplc="08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7577E4A"/>
    <w:multiLevelType w:val="hybridMultilevel"/>
    <w:tmpl w:val="3AEAA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9C22EB1"/>
    <w:multiLevelType w:val="hybridMultilevel"/>
    <w:tmpl w:val="F8E2BDA6"/>
    <w:lvl w:ilvl="0" w:tplc="0409000F">
      <w:start w:val="1"/>
      <w:numFmt w:val="bullet"/>
      <w:lvlText w:val=""/>
      <w:lvlJc w:val="left"/>
      <w:pPr>
        <w:tabs>
          <w:tab w:val="num" w:pos="851"/>
        </w:tabs>
        <w:ind w:left="851" w:hanging="284"/>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numFmt w:val="bullet"/>
      <w:lvlText w:val="-"/>
      <w:lvlJc w:val="left"/>
      <w:pPr>
        <w:tabs>
          <w:tab w:val="num" w:pos="2160"/>
        </w:tabs>
        <w:ind w:left="2160" w:hanging="360"/>
      </w:pPr>
      <w:rPr>
        <w:rFonts w:ascii="Univers 47 CondensedLight" w:eastAsia="Times New Roman" w:hAnsi="Univers 47 CondensedLight" w:cs="Times New Roman"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2A750BEF"/>
    <w:multiLevelType w:val="hybridMultilevel"/>
    <w:tmpl w:val="614E6300"/>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D571D9F"/>
    <w:multiLevelType w:val="hybridMultilevel"/>
    <w:tmpl w:val="C79E9F22"/>
    <w:lvl w:ilvl="0" w:tplc="57A23F96">
      <w:start w:val="1"/>
      <w:numFmt w:val="decimal"/>
      <w:lvlText w:val="%1"/>
      <w:lvlJc w:val="left"/>
      <w:pPr>
        <w:ind w:left="1446" w:hanging="87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23">
    <w:nsid w:val="2ED2621A"/>
    <w:multiLevelType w:val="hybridMultilevel"/>
    <w:tmpl w:val="A6B01B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4F55F92"/>
    <w:multiLevelType w:val="hybridMultilevel"/>
    <w:tmpl w:val="7CECF6C8"/>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25">
    <w:nsid w:val="35900339"/>
    <w:multiLevelType w:val="hybridMultilevel"/>
    <w:tmpl w:val="943C50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36906C73"/>
    <w:multiLevelType w:val="hybridMultilevel"/>
    <w:tmpl w:val="7742A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CA71E79"/>
    <w:multiLevelType w:val="hybridMultilevel"/>
    <w:tmpl w:val="9768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CE71F44"/>
    <w:multiLevelType w:val="hybridMultilevel"/>
    <w:tmpl w:val="72ACA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E9C2650"/>
    <w:multiLevelType w:val="hybridMultilevel"/>
    <w:tmpl w:val="AC384DAE"/>
    <w:lvl w:ilvl="0" w:tplc="A8BCD366">
      <w:start w:val="1"/>
      <w:numFmt w:val="bullet"/>
      <w:lvlText w:val=""/>
      <w:lvlJc w:val="left"/>
      <w:pPr>
        <w:ind w:left="420" w:hanging="360"/>
      </w:pPr>
      <w:rPr>
        <w:rFonts w:ascii="Symbol" w:eastAsia="Times New Roman" w:hAnsi="Symbol"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0">
    <w:nsid w:val="429D4989"/>
    <w:multiLevelType w:val="hybridMultilevel"/>
    <w:tmpl w:val="97F6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4040083"/>
    <w:multiLevelType w:val="hybridMultilevel"/>
    <w:tmpl w:val="5F1E7668"/>
    <w:lvl w:ilvl="0" w:tplc="0409000F">
      <w:start w:val="1"/>
      <w:numFmt w:val="bullet"/>
      <w:lvlText w:val=""/>
      <w:lvlJc w:val="left"/>
      <w:pPr>
        <w:tabs>
          <w:tab w:val="num" w:pos="720"/>
        </w:tabs>
        <w:ind w:left="720" w:hanging="360"/>
      </w:pPr>
      <w:rPr>
        <w:rFonts w:ascii="Symbol" w:hAnsi="Symbol" w:hint="default"/>
      </w:rPr>
    </w:lvl>
    <w:lvl w:ilvl="1" w:tplc="040C0019">
      <w:start w:val="1"/>
      <w:numFmt w:val="bullet"/>
      <w:lvlText w:val="o"/>
      <w:lvlJc w:val="left"/>
      <w:pPr>
        <w:tabs>
          <w:tab w:val="num" w:pos="1440"/>
        </w:tabs>
        <w:ind w:left="1440" w:hanging="360"/>
      </w:pPr>
      <w:rPr>
        <w:rFonts w:ascii="Courier New" w:hAnsi="Courier New" w:cs="Times OE- Roman"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Times OE- Roman"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Times OE- Roman"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2">
    <w:nsid w:val="44070603"/>
    <w:multiLevelType w:val="hybridMultilevel"/>
    <w:tmpl w:val="9D8A4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413489F"/>
    <w:multiLevelType w:val="hybridMultilevel"/>
    <w:tmpl w:val="9E9EA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81D5723"/>
    <w:multiLevelType w:val="hybridMultilevel"/>
    <w:tmpl w:val="205478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AC36A85"/>
    <w:multiLevelType w:val="hybridMultilevel"/>
    <w:tmpl w:val="666A4FE6"/>
    <w:lvl w:ilvl="0" w:tplc="568C990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B9C5C18"/>
    <w:multiLevelType w:val="hybridMultilevel"/>
    <w:tmpl w:val="A37A12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E781736"/>
    <w:multiLevelType w:val="hybridMultilevel"/>
    <w:tmpl w:val="3792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074387F"/>
    <w:multiLevelType w:val="hybridMultilevel"/>
    <w:tmpl w:val="5E428E14"/>
    <w:lvl w:ilvl="0" w:tplc="42285354">
      <w:start w:val="1"/>
      <w:numFmt w:val="bullet"/>
      <w:lvlText w:val="o"/>
      <w:lvlJc w:val="left"/>
      <w:pPr>
        <w:tabs>
          <w:tab w:val="num" w:pos="720"/>
        </w:tabs>
        <w:ind w:left="720" w:hanging="360"/>
      </w:pPr>
      <w:rPr>
        <w:rFonts w:ascii="Courier New" w:hAnsi="Courier New" w:hint="default"/>
      </w:rPr>
    </w:lvl>
    <w:lvl w:ilvl="1" w:tplc="42866848" w:tentative="1">
      <w:start w:val="1"/>
      <w:numFmt w:val="bullet"/>
      <w:lvlText w:val="o"/>
      <w:lvlJc w:val="left"/>
      <w:pPr>
        <w:tabs>
          <w:tab w:val="num" w:pos="1440"/>
        </w:tabs>
        <w:ind w:left="1440" w:hanging="360"/>
      </w:pPr>
      <w:rPr>
        <w:rFonts w:ascii="Courier New" w:hAnsi="Courier New" w:hint="default"/>
      </w:rPr>
    </w:lvl>
    <w:lvl w:ilvl="2" w:tplc="15DCE786">
      <w:start w:val="1"/>
      <w:numFmt w:val="bullet"/>
      <w:lvlText w:val="o"/>
      <w:lvlJc w:val="left"/>
      <w:pPr>
        <w:tabs>
          <w:tab w:val="num" w:pos="2160"/>
        </w:tabs>
        <w:ind w:left="2160" w:hanging="360"/>
      </w:pPr>
      <w:rPr>
        <w:rFonts w:ascii="Courier New" w:hAnsi="Courier New" w:hint="default"/>
      </w:rPr>
    </w:lvl>
    <w:lvl w:ilvl="3" w:tplc="95B0F8F0" w:tentative="1">
      <w:start w:val="1"/>
      <w:numFmt w:val="bullet"/>
      <w:lvlText w:val="o"/>
      <w:lvlJc w:val="left"/>
      <w:pPr>
        <w:tabs>
          <w:tab w:val="num" w:pos="2880"/>
        </w:tabs>
        <w:ind w:left="2880" w:hanging="360"/>
      </w:pPr>
      <w:rPr>
        <w:rFonts w:ascii="Courier New" w:hAnsi="Courier New" w:hint="default"/>
      </w:rPr>
    </w:lvl>
    <w:lvl w:ilvl="4" w:tplc="96C69A46" w:tentative="1">
      <w:start w:val="1"/>
      <w:numFmt w:val="bullet"/>
      <w:lvlText w:val="o"/>
      <w:lvlJc w:val="left"/>
      <w:pPr>
        <w:tabs>
          <w:tab w:val="num" w:pos="3600"/>
        </w:tabs>
        <w:ind w:left="3600" w:hanging="360"/>
      </w:pPr>
      <w:rPr>
        <w:rFonts w:ascii="Courier New" w:hAnsi="Courier New" w:hint="default"/>
      </w:rPr>
    </w:lvl>
    <w:lvl w:ilvl="5" w:tplc="1C2C0582" w:tentative="1">
      <w:start w:val="1"/>
      <w:numFmt w:val="bullet"/>
      <w:lvlText w:val="o"/>
      <w:lvlJc w:val="left"/>
      <w:pPr>
        <w:tabs>
          <w:tab w:val="num" w:pos="4320"/>
        </w:tabs>
        <w:ind w:left="4320" w:hanging="360"/>
      </w:pPr>
      <w:rPr>
        <w:rFonts w:ascii="Courier New" w:hAnsi="Courier New" w:hint="default"/>
      </w:rPr>
    </w:lvl>
    <w:lvl w:ilvl="6" w:tplc="A9E8D79E" w:tentative="1">
      <w:start w:val="1"/>
      <w:numFmt w:val="bullet"/>
      <w:lvlText w:val="o"/>
      <w:lvlJc w:val="left"/>
      <w:pPr>
        <w:tabs>
          <w:tab w:val="num" w:pos="5040"/>
        </w:tabs>
        <w:ind w:left="5040" w:hanging="360"/>
      </w:pPr>
      <w:rPr>
        <w:rFonts w:ascii="Courier New" w:hAnsi="Courier New" w:hint="default"/>
      </w:rPr>
    </w:lvl>
    <w:lvl w:ilvl="7" w:tplc="42D6960A" w:tentative="1">
      <w:start w:val="1"/>
      <w:numFmt w:val="bullet"/>
      <w:lvlText w:val="o"/>
      <w:lvlJc w:val="left"/>
      <w:pPr>
        <w:tabs>
          <w:tab w:val="num" w:pos="5760"/>
        </w:tabs>
        <w:ind w:left="5760" w:hanging="360"/>
      </w:pPr>
      <w:rPr>
        <w:rFonts w:ascii="Courier New" w:hAnsi="Courier New" w:hint="default"/>
      </w:rPr>
    </w:lvl>
    <w:lvl w:ilvl="8" w:tplc="68841C48" w:tentative="1">
      <w:start w:val="1"/>
      <w:numFmt w:val="bullet"/>
      <w:lvlText w:val="o"/>
      <w:lvlJc w:val="left"/>
      <w:pPr>
        <w:tabs>
          <w:tab w:val="num" w:pos="6480"/>
        </w:tabs>
        <w:ind w:left="6480" w:hanging="360"/>
      </w:pPr>
      <w:rPr>
        <w:rFonts w:ascii="Courier New" w:hAnsi="Courier New" w:hint="default"/>
      </w:rPr>
    </w:lvl>
  </w:abstractNum>
  <w:abstractNum w:abstractNumId="39">
    <w:nsid w:val="50994B43"/>
    <w:multiLevelType w:val="hybridMultilevel"/>
    <w:tmpl w:val="01DA74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52FB38C8"/>
    <w:multiLevelType w:val="hybridMultilevel"/>
    <w:tmpl w:val="284EC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5626138"/>
    <w:multiLevelType w:val="hybridMultilevel"/>
    <w:tmpl w:val="C32CFE44"/>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42">
    <w:nsid w:val="55E7543C"/>
    <w:multiLevelType w:val="hybridMultilevel"/>
    <w:tmpl w:val="81A660BA"/>
    <w:lvl w:ilvl="0" w:tplc="D69EE966">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6331992"/>
    <w:multiLevelType w:val="hybridMultilevel"/>
    <w:tmpl w:val="51246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1013F5E"/>
    <w:multiLevelType w:val="hybridMultilevel"/>
    <w:tmpl w:val="701AF3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2553171"/>
    <w:multiLevelType w:val="hybridMultilevel"/>
    <w:tmpl w:val="8C9A8718"/>
    <w:lvl w:ilvl="0" w:tplc="BCF6ADBC">
      <w:start w:val="1"/>
      <w:numFmt w:val="decimal"/>
      <w:lvlText w:val="Subject %1."/>
      <w:lvlJc w:val="left"/>
      <w:pPr>
        <w:ind w:left="720" w:hanging="360"/>
      </w:pPr>
      <w:rPr>
        <w:rFonts w:hint="default"/>
      </w:rPr>
    </w:lvl>
    <w:lvl w:ilvl="1" w:tplc="17FA44A6">
      <w:numFmt w:val="bullet"/>
      <w:lvlText w:val="-"/>
      <w:lvlJc w:val="left"/>
      <w:pPr>
        <w:ind w:left="1440" w:hanging="360"/>
      </w:pPr>
      <w:rPr>
        <w:rFonts w:ascii="Arial" w:eastAsia="PMingLiU"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53F6A98"/>
    <w:multiLevelType w:val="hybridMultilevel"/>
    <w:tmpl w:val="40E04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59726A3"/>
    <w:multiLevelType w:val="hybridMultilevel"/>
    <w:tmpl w:val="4E0E0572"/>
    <w:lvl w:ilvl="0" w:tplc="FFFFFFFF">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OE-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OE-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OE- Roman"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6FA727B7"/>
    <w:multiLevelType w:val="hybridMultilevel"/>
    <w:tmpl w:val="4B428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1435EA7"/>
    <w:multiLevelType w:val="hybridMultilevel"/>
    <w:tmpl w:val="89AE6996"/>
    <w:lvl w:ilvl="0" w:tplc="F0AEFFB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40001CF"/>
    <w:multiLevelType w:val="hybridMultilevel"/>
    <w:tmpl w:val="18B2BB4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1">
    <w:nsid w:val="744836C9"/>
    <w:multiLevelType w:val="hybridMultilevel"/>
    <w:tmpl w:val="0CF20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A281125"/>
    <w:multiLevelType w:val="hybridMultilevel"/>
    <w:tmpl w:val="BC4E7C4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3">
    <w:nsid w:val="7C05218A"/>
    <w:multiLevelType w:val="hybridMultilevel"/>
    <w:tmpl w:val="B30439D4"/>
    <w:lvl w:ilvl="0" w:tplc="08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EB36FBD"/>
    <w:multiLevelType w:val="hybridMultilevel"/>
    <w:tmpl w:val="01020F20"/>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num w:numId="1">
    <w:abstractNumId w:val="2"/>
  </w:num>
  <w:num w:numId="2">
    <w:abstractNumId w:val="4"/>
  </w:num>
  <w:num w:numId="3">
    <w:abstractNumId w:val="9"/>
  </w:num>
  <w:num w:numId="4">
    <w:abstractNumId w:val="0"/>
  </w:num>
  <w:num w:numId="5">
    <w:abstractNumId w:val="20"/>
  </w:num>
  <w:num w:numId="6">
    <w:abstractNumId w:val="1"/>
  </w:num>
  <w:num w:numId="7">
    <w:abstractNumId w:val="3"/>
  </w:num>
  <w:num w:numId="8">
    <w:abstractNumId w:val="47"/>
  </w:num>
  <w:num w:numId="9">
    <w:abstractNumId w:val="39"/>
  </w:num>
  <w:num w:numId="10">
    <w:abstractNumId w:val="36"/>
  </w:num>
  <w:num w:numId="11">
    <w:abstractNumId w:val="25"/>
  </w:num>
  <w:num w:numId="12">
    <w:abstractNumId w:val="44"/>
  </w:num>
  <w:num w:numId="13">
    <w:abstractNumId w:val="23"/>
  </w:num>
  <w:num w:numId="14">
    <w:abstractNumId w:val="13"/>
  </w:num>
  <w:num w:numId="15">
    <w:abstractNumId w:val="19"/>
  </w:num>
  <w:num w:numId="16">
    <w:abstractNumId w:val="5"/>
  </w:num>
  <w:num w:numId="17">
    <w:abstractNumId w:val="14"/>
  </w:num>
  <w:num w:numId="18">
    <w:abstractNumId w:val="31"/>
  </w:num>
  <w:num w:numId="19">
    <w:abstractNumId w:val="53"/>
  </w:num>
  <w:num w:numId="20">
    <w:abstractNumId w:val="15"/>
  </w:num>
  <w:num w:numId="21">
    <w:abstractNumId w:val="46"/>
  </w:num>
  <w:num w:numId="22">
    <w:abstractNumId w:val="30"/>
  </w:num>
  <w:num w:numId="23">
    <w:abstractNumId w:val="43"/>
  </w:num>
  <w:num w:numId="24">
    <w:abstractNumId w:val="32"/>
  </w:num>
  <w:num w:numId="25">
    <w:abstractNumId w:val="40"/>
  </w:num>
  <w:num w:numId="26">
    <w:abstractNumId w:val="48"/>
  </w:num>
  <w:num w:numId="27">
    <w:abstractNumId w:val="37"/>
  </w:num>
  <w:num w:numId="28">
    <w:abstractNumId w:val="7"/>
  </w:num>
  <w:num w:numId="29">
    <w:abstractNumId w:val="12"/>
  </w:num>
  <w:num w:numId="30">
    <w:abstractNumId w:val="41"/>
  </w:num>
  <w:num w:numId="31">
    <w:abstractNumId w:val="51"/>
  </w:num>
  <w:num w:numId="32">
    <w:abstractNumId w:val="52"/>
  </w:num>
  <w:num w:numId="33">
    <w:abstractNumId w:val="18"/>
  </w:num>
  <w:num w:numId="34">
    <w:abstractNumId w:val="24"/>
  </w:num>
  <w:num w:numId="35">
    <w:abstractNumId w:val="26"/>
  </w:num>
  <w:num w:numId="36">
    <w:abstractNumId w:val="27"/>
  </w:num>
  <w:num w:numId="37">
    <w:abstractNumId w:val="11"/>
  </w:num>
  <w:num w:numId="38">
    <w:abstractNumId w:val="8"/>
  </w:num>
  <w:num w:numId="39">
    <w:abstractNumId w:val="35"/>
  </w:num>
  <w:num w:numId="40">
    <w:abstractNumId w:val="45"/>
  </w:num>
  <w:num w:numId="41">
    <w:abstractNumId w:val="6"/>
  </w:num>
  <w:num w:numId="42">
    <w:abstractNumId w:val="21"/>
  </w:num>
  <w:num w:numId="43">
    <w:abstractNumId w:val="29"/>
  </w:num>
  <w:num w:numId="44">
    <w:abstractNumId w:val="34"/>
  </w:num>
  <w:num w:numId="45">
    <w:abstractNumId w:val="49"/>
  </w:num>
  <w:num w:numId="46">
    <w:abstractNumId w:val="10"/>
  </w:num>
  <w:num w:numId="47">
    <w:abstractNumId w:val="50"/>
  </w:num>
  <w:num w:numId="48">
    <w:abstractNumId w:val="17"/>
  </w:num>
  <w:num w:numId="49">
    <w:abstractNumId w:val="42"/>
  </w:num>
  <w:num w:numId="50">
    <w:abstractNumId w:val="28"/>
  </w:num>
  <w:num w:numId="51">
    <w:abstractNumId w:val="33"/>
  </w:num>
  <w:num w:numId="52">
    <w:abstractNumId w:val="54"/>
  </w:num>
  <w:num w:numId="53">
    <w:abstractNumId w:val="22"/>
  </w:num>
  <w:num w:numId="54">
    <w:abstractNumId w:val="16"/>
  </w:num>
  <w:num w:numId="55">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2529">
      <o:colormru v:ext="edit" colors="#f5f5f5,#e0e0e0,#cdcdcd,#aeaea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E1D"/>
    <w:rsid w:val="00000375"/>
    <w:rsid w:val="000003EE"/>
    <w:rsid w:val="00000619"/>
    <w:rsid w:val="00000632"/>
    <w:rsid w:val="000008BE"/>
    <w:rsid w:val="000009E8"/>
    <w:rsid w:val="00000D78"/>
    <w:rsid w:val="000014D3"/>
    <w:rsid w:val="00001570"/>
    <w:rsid w:val="0000199B"/>
    <w:rsid w:val="00001D8D"/>
    <w:rsid w:val="00002158"/>
    <w:rsid w:val="00002C29"/>
    <w:rsid w:val="00002C7A"/>
    <w:rsid w:val="00003423"/>
    <w:rsid w:val="00003564"/>
    <w:rsid w:val="000039F8"/>
    <w:rsid w:val="00003B90"/>
    <w:rsid w:val="00003C53"/>
    <w:rsid w:val="0000428D"/>
    <w:rsid w:val="0000435C"/>
    <w:rsid w:val="000043B4"/>
    <w:rsid w:val="00004C4B"/>
    <w:rsid w:val="00004DF6"/>
    <w:rsid w:val="00005551"/>
    <w:rsid w:val="00005576"/>
    <w:rsid w:val="00005756"/>
    <w:rsid w:val="00005FF7"/>
    <w:rsid w:val="00006220"/>
    <w:rsid w:val="00007190"/>
    <w:rsid w:val="000072E9"/>
    <w:rsid w:val="00007B45"/>
    <w:rsid w:val="00007C08"/>
    <w:rsid w:val="00007C0E"/>
    <w:rsid w:val="000116F9"/>
    <w:rsid w:val="00011A55"/>
    <w:rsid w:val="00011C0C"/>
    <w:rsid w:val="000122E1"/>
    <w:rsid w:val="00012DED"/>
    <w:rsid w:val="0001348C"/>
    <w:rsid w:val="00014198"/>
    <w:rsid w:val="0001486E"/>
    <w:rsid w:val="0001486F"/>
    <w:rsid w:val="00014B78"/>
    <w:rsid w:val="00014CDA"/>
    <w:rsid w:val="00014F5C"/>
    <w:rsid w:val="0001568D"/>
    <w:rsid w:val="00016453"/>
    <w:rsid w:val="00016BC7"/>
    <w:rsid w:val="00016C35"/>
    <w:rsid w:val="00016E32"/>
    <w:rsid w:val="00016E6D"/>
    <w:rsid w:val="00016FC8"/>
    <w:rsid w:val="00017A9D"/>
    <w:rsid w:val="00017B72"/>
    <w:rsid w:val="00020075"/>
    <w:rsid w:val="00020501"/>
    <w:rsid w:val="00020981"/>
    <w:rsid w:val="000209E5"/>
    <w:rsid w:val="00020A90"/>
    <w:rsid w:val="00020BE3"/>
    <w:rsid w:val="00020C45"/>
    <w:rsid w:val="000218D3"/>
    <w:rsid w:val="00021E01"/>
    <w:rsid w:val="000220DB"/>
    <w:rsid w:val="0002216D"/>
    <w:rsid w:val="00022503"/>
    <w:rsid w:val="00022531"/>
    <w:rsid w:val="0002264D"/>
    <w:rsid w:val="00022F59"/>
    <w:rsid w:val="000230D1"/>
    <w:rsid w:val="00023989"/>
    <w:rsid w:val="00023EDD"/>
    <w:rsid w:val="000240D8"/>
    <w:rsid w:val="00024411"/>
    <w:rsid w:val="000256C8"/>
    <w:rsid w:val="0002592B"/>
    <w:rsid w:val="00025B16"/>
    <w:rsid w:val="00025F90"/>
    <w:rsid w:val="00026236"/>
    <w:rsid w:val="00026AD3"/>
    <w:rsid w:val="00026C2E"/>
    <w:rsid w:val="00026C5B"/>
    <w:rsid w:val="00026F95"/>
    <w:rsid w:val="00026FD9"/>
    <w:rsid w:val="000272C4"/>
    <w:rsid w:val="00027314"/>
    <w:rsid w:val="00027579"/>
    <w:rsid w:val="00027648"/>
    <w:rsid w:val="00027688"/>
    <w:rsid w:val="00027A80"/>
    <w:rsid w:val="00027AC5"/>
    <w:rsid w:val="00027B5A"/>
    <w:rsid w:val="00027E3F"/>
    <w:rsid w:val="00030AA0"/>
    <w:rsid w:val="00031157"/>
    <w:rsid w:val="0003153F"/>
    <w:rsid w:val="00031FAF"/>
    <w:rsid w:val="000330C6"/>
    <w:rsid w:val="000336F6"/>
    <w:rsid w:val="000339D7"/>
    <w:rsid w:val="000339E0"/>
    <w:rsid w:val="00034073"/>
    <w:rsid w:val="0003441E"/>
    <w:rsid w:val="0003442E"/>
    <w:rsid w:val="00034E65"/>
    <w:rsid w:val="00034F2C"/>
    <w:rsid w:val="0003504F"/>
    <w:rsid w:val="00035366"/>
    <w:rsid w:val="00035D14"/>
    <w:rsid w:val="00036A92"/>
    <w:rsid w:val="00037089"/>
    <w:rsid w:val="0003740C"/>
    <w:rsid w:val="00037A5C"/>
    <w:rsid w:val="00040014"/>
    <w:rsid w:val="0004063A"/>
    <w:rsid w:val="00040643"/>
    <w:rsid w:val="0004148A"/>
    <w:rsid w:val="000416E9"/>
    <w:rsid w:val="00042093"/>
    <w:rsid w:val="00042119"/>
    <w:rsid w:val="000424F8"/>
    <w:rsid w:val="00042B5C"/>
    <w:rsid w:val="00042E18"/>
    <w:rsid w:val="00043294"/>
    <w:rsid w:val="00043B64"/>
    <w:rsid w:val="00044845"/>
    <w:rsid w:val="000448D3"/>
    <w:rsid w:val="00044A51"/>
    <w:rsid w:val="00044D09"/>
    <w:rsid w:val="00045093"/>
    <w:rsid w:val="000450C5"/>
    <w:rsid w:val="000453F7"/>
    <w:rsid w:val="00045F0C"/>
    <w:rsid w:val="00046530"/>
    <w:rsid w:val="00046B55"/>
    <w:rsid w:val="00046DEF"/>
    <w:rsid w:val="000474DF"/>
    <w:rsid w:val="0004753A"/>
    <w:rsid w:val="0004762F"/>
    <w:rsid w:val="00047A51"/>
    <w:rsid w:val="00047C3F"/>
    <w:rsid w:val="000501DE"/>
    <w:rsid w:val="00050267"/>
    <w:rsid w:val="00050644"/>
    <w:rsid w:val="00050D1C"/>
    <w:rsid w:val="00050F80"/>
    <w:rsid w:val="00051057"/>
    <w:rsid w:val="00051187"/>
    <w:rsid w:val="0005123F"/>
    <w:rsid w:val="00051357"/>
    <w:rsid w:val="00051531"/>
    <w:rsid w:val="00051C2D"/>
    <w:rsid w:val="00052908"/>
    <w:rsid w:val="000529C8"/>
    <w:rsid w:val="00052A57"/>
    <w:rsid w:val="00053180"/>
    <w:rsid w:val="000531A9"/>
    <w:rsid w:val="00053793"/>
    <w:rsid w:val="0005465A"/>
    <w:rsid w:val="00054930"/>
    <w:rsid w:val="00055007"/>
    <w:rsid w:val="000557C8"/>
    <w:rsid w:val="00055D95"/>
    <w:rsid w:val="00055F44"/>
    <w:rsid w:val="00056499"/>
    <w:rsid w:val="00057992"/>
    <w:rsid w:val="00057CCF"/>
    <w:rsid w:val="00057DA8"/>
    <w:rsid w:val="00060474"/>
    <w:rsid w:val="0006064C"/>
    <w:rsid w:val="00060CCC"/>
    <w:rsid w:val="00061729"/>
    <w:rsid w:val="00061973"/>
    <w:rsid w:val="00061B9D"/>
    <w:rsid w:val="00062043"/>
    <w:rsid w:val="00062F40"/>
    <w:rsid w:val="00062F50"/>
    <w:rsid w:val="00063202"/>
    <w:rsid w:val="00063392"/>
    <w:rsid w:val="00063706"/>
    <w:rsid w:val="00063882"/>
    <w:rsid w:val="00065230"/>
    <w:rsid w:val="000654E5"/>
    <w:rsid w:val="00065702"/>
    <w:rsid w:val="00065F26"/>
    <w:rsid w:val="000662A1"/>
    <w:rsid w:val="00066659"/>
    <w:rsid w:val="00066716"/>
    <w:rsid w:val="00066BF4"/>
    <w:rsid w:val="00066E0F"/>
    <w:rsid w:val="00067179"/>
    <w:rsid w:val="000675E9"/>
    <w:rsid w:val="00067DC4"/>
    <w:rsid w:val="00070C8E"/>
    <w:rsid w:val="00071561"/>
    <w:rsid w:val="00071655"/>
    <w:rsid w:val="000716CC"/>
    <w:rsid w:val="00071AD0"/>
    <w:rsid w:val="00071D2F"/>
    <w:rsid w:val="00071EDC"/>
    <w:rsid w:val="000727EA"/>
    <w:rsid w:val="00072F03"/>
    <w:rsid w:val="0007334A"/>
    <w:rsid w:val="00073719"/>
    <w:rsid w:val="00074C66"/>
    <w:rsid w:val="0007502F"/>
    <w:rsid w:val="000755F3"/>
    <w:rsid w:val="00076477"/>
    <w:rsid w:val="0007648E"/>
    <w:rsid w:val="00076898"/>
    <w:rsid w:val="00076B28"/>
    <w:rsid w:val="00076B5F"/>
    <w:rsid w:val="00076D0C"/>
    <w:rsid w:val="00080728"/>
    <w:rsid w:val="00080DD2"/>
    <w:rsid w:val="00081E04"/>
    <w:rsid w:val="000826EE"/>
    <w:rsid w:val="0008288C"/>
    <w:rsid w:val="00082894"/>
    <w:rsid w:val="000832D0"/>
    <w:rsid w:val="0008387E"/>
    <w:rsid w:val="00083BCA"/>
    <w:rsid w:val="00083BF3"/>
    <w:rsid w:val="00083DCA"/>
    <w:rsid w:val="00083E1D"/>
    <w:rsid w:val="000846E7"/>
    <w:rsid w:val="00084A17"/>
    <w:rsid w:val="000852B0"/>
    <w:rsid w:val="000859B4"/>
    <w:rsid w:val="00085A23"/>
    <w:rsid w:val="00085F1E"/>
    <w:rsid w:val="000863D1"/>
    <w:rsid w:val="00086BA6"/>
    <w:rsid w:val="00086ECD"/>
    <w:rsid w:val="00087139"/>
    <w:rsid w:val="00087273"/>
    <w:rsid w:val="00087B8F"/>
    <w:rsid w:val="00087E41"/>
    <w:rsid w:val="00090996"/>
    <w:rsid w:val="00090D54"/>
    <w:rsid w:val="00090DE0"/>
    <w:rsid w:val="00090E0B"/>
    <w:rsid w:val="00090EF0"/>
    <w:rsid w:val="0009134D"/>
    <w:rsid w:val="00092297"/>
    <w:rsid w:val="00092340"/>
    <w:rsid w:val="0009244E"/>
    <w:rsid w:val="00092990"/>
    <w:rsid w:val="00092F26"/>
    <w:rsid w:val="00092F3C"/>
    <w:rsid w:val="00093382"/>
    <w:rsid w:val="00093BE7"/>
    <w:rsid w:val="00093CC6"/>
    <w:rsid w:val="00093F23"/>
    <w:rsid w:val="00094665"/>
    <w:rsid w:val="00094A24"/>
    <w:rsid w:val="00094C60"/>
    <w:rsid w:val="00095780"/>
    <w:rsid w:val="0009587F"/>
    <w:rsid w:val="00096725"/>
    <w:rsid w:val="00097274"/>
    <w:rsid w:val="00097A11"/>
    <w:rsid w:val="00097EC2"/>
    <w:rsid w:val="000A0CBB"/>
    <w:rsid w:val="000A0E04"/>
    <w:rsid w:val="000A0EB8"/>
    <w:rsid w:val="000A13B2"/>
    <w:rsid w:val="000A1790"/>
    <w:rsid w:val="000A1919"/>
    <w:rsid w:val="000A2B0B"/>
    <w:rsid w:val="000A2FE2"/>
    <w:rsid w:val="000A442F"/>
    <w:rsid w:val="000A4BAF"/>
    <w:rsid w:val="000A4C6C"/>
    <w:rsid w:val="000A59DE"/>
    <w:rsid w:val="000A5AB4"/>
    <w:rsid w:val="000A62A0"/>
    <w:rsid w:val="000A6840"/>
    <w:rsid w:val="000A686D"/>
    <w:rsid w:val="000A6FB4"/>
    <w:rsid w:val="000A6FDB"/>
    <w:rsid w:val="000A7320"/>
    <w:rsid w:val="000A7ADF"/>
    <w:rsid w:val="000A7B57"/>
    <w:rsid w:val="000B0DF9"/>
    <w:rsid w:val="000B1C52"/>
    <w:rsid w:val="000B294A"/>
    <w:rsid w:val="000B2BFC"/>
    <w:rsid w:val="000B3143"/>
    <w:rsid w:val="000B3999"/>
    <w:rsid w:val="000B3C17"/>
    <w:rsid w:val="000B3D62"/>
    <w:rsid w:val="000B3E72"/>
    <w:rsid w:val="000B3ED3"/>
    <w:rsid w:val="000B4E3B"/>
    <w:rsid w:val="000B50C3"/>
    <w:rsid w:val="000B5152"/>
    <w:rsid w:val="000B53B6"/>
    <w:rsid w:val="000B563D"/>
    <w:rsid w:val="000B5CA3"/>
    <w:rsid w:val="000B658A"/>
    <w:rsid w:val="000B74FC"/>
    <w:rsid w:val="000B761B"/>
    <w:rsid w:val="000B7D12"/>
    <w:rsid w:val="000C0114"/>
    <w:rsid w:val="000C0246"/>
    <w:rsid w:val="000C0835"/>
    <w:rsid w:val="000C09F0"/>
    <w:rsid w:val="000C1CEC"/>
    <w:rsid w:val="000C287C"/>
    <w:rsid w:val="000C2EC8"/>
    <w:rsid w:val="000C413C"/>
    <w:rsid w:val="000C46F4"/>
    <w:rsid w:val="000C4D60"/>
    <w:rsid w:val="000C528D"/>
    <w:rsid w:val="000C629E"/>
    <w:rsid w:val="000C6C6F"/>
    <w:rsid w:val="000C6E04"/>
    <w:rsid w:val="000C7311"/>
    <w:rsid w:val="000C76CE"/>
    <w:rsid w:val="000D07AD"/>
    <w:rsid w:val="000D0BAF"/>
    <w:rsid w:val="000D0D4C"/>
    <w:rsid w:val="000D1346"/>
    <w:rsid w:val="000D16B9"/>
    <w:rsid w:val="000D2795"/>
    <w:rsid w:val="000D2E6F"/>
    <w:rsid w:val="000D3F90"/>
    <w:rsid w:val="000D52CF"/>
    <w:rsid w:val="000D5790"/>
    <w:rsid w:val="000D5BDB"/>
    <w:rsid w:val="000D5D9C"/>
    <w:rsid w:val="000D5DA1"/>
    <w:rsid w:val="000D6834"/>
    <w:rsid w:val="000D69B4"/>
    <w:rsid w:val="000D6A49"/>
    <w:rsid w:val="000D7BB2"/>
    <w:rsid w:val="000E01BB"/>
    <w:rsid w:val="000E0247"/>
    <w:rsid w:val="000E0DC7"/>
    <w:rsid w:val="000E10A8"/>
    <w:rsid w:val="000E11D9"/>
    <w:rsid w:val="000E2162"/>
    <w:rsid w:val="000E2425"/>
    <w:rsid w:val="000E2444"/>
    <w:rsid w:val="000E2B06"/>
    <w:rsid w:val="000E3310"/>
    <w:rsid w:val="000E3EF9"/>
    <w:rsid w:val="000E4544"/>
    <w:rsid w:val="000E4B54"/>
    <w:rsid w:val="000E5096"/>
    <w:rsid w:val="000E5B6B"/>
    <w:rsid w:val="000E64B4"/>
    <w:rsid w:val="000E6629"/>
    <w:rsid w:val="000E6C0B"/>
    <w:rsid w:val="000E6D89"/>
    <w:rsid w:val="000E6E6D"/>
    <w:rsid w:val="000E6E91"/>
    <w:rsid w:val="000E7581"/>
    <w:rsid w:val="000E7CC4"/>
    <w:rsid w:val="000F0B9B"/>
    <w:rsid w:val="000F160F"/>
    <w:rsid w:val="000F16A3"/>
    <w:rsid w:val="000F1828"/>
    <w:rsid w:val="000F1848"/>
    <w:rsid w:val="000F1CB1"/>
    <w:rsid w:val="000F1D7F"/>
    <w:rsid w:val="000F2023"/>
    <w:rsid w:val="000F2084"/>
    <w:rsid w:val="000F2781"/>
    <w:rsid w:val="000F2900"/>
    <w:rsid w:val="000F326A"/>
    <w:rsid w:val="000F40AC"/>
    <w:rsid w:val="000F40B5"/>
    <w:rsid w:val="000F5132"/>
    <w:rsid w:val="000F5147"/>
    <w:rsid w:val="000F569A"/>
    <w:rsid w:val="000F632B"/>
    <w:rsid w:val="000F63E8"/>
    <w:rsid w:val="000F6968"/>
    <w:rsid w:val="000F699B"/>
    <w:rsid w:val="000F6A9A"/>
    <w:rsid w:val="000F6E54"/>
    <w:rsid w:val="000F6E95"/>
    <w:rsid w:val="00101002"/>
    <w:rsid w:val="001010A0"/>
    <w:rsid w:val="00101568"/>
    <w:rsid w:val="00101914"/>
    <w:rsid w:val="00101A6F"/>
    <w:rsid w:val="00101AAD"/>
    <w:rsid w:val="0010258C"/>
    <w:rsid w:val="00102E9A"/>
    <w:rsid w:val="0010326F"/>
    <w:rsid w:val="0010352B"/>
    <w:rsid w:val="00103CFD"/>
    <w:rsid w:val="001043D5"/>
    <w:rsid w:val="00104B7C"/>
    <w:rsid w:val="00104E9E"/>
    <w:rsid w:val="00104FD1"/>
    <w:rsid w:val="0010556A"/>
    <w:rsid w:val="00106017"/>
    <w:rsid w:val="00106357"/>
    <w:rsid w:val="00106980"/>
    <w:rsid w:val="00106A26"/>
    <w:rsid w:val="00106BD3"/>
    <w:rsid w:val="00107AA8"/>
    <w:rsid w:val="00107C67"/>
    <w:rsid w:val="0011038C"/>
    <w:rsid w:val="00110631"/>
    <w:rsid w:val="0011065A"/>
    <w:rsid w:val="001106B2"/>
    <w:rsid w:val="00110FBF"/>
    <w:rsid w:val="00111054"/>
    <w:rsid w:val="001118FF"/>
    <w:rsid w:val="00111D2C"/>
    <w:rsid w:val="00111DF1"/>
    <w:rsid w:val="00111E6A"/>
    <w:rsid w:val="001120F4"/>
    <w:rsid w:val="001123CC"/>
    <w:rsid w:val="00112DAF"/>
    <w:rsid w:val="00113128"/>
    <w:rsid w:val="00113362"/>
    <w:rsid w:val="00113581"/>
    <w:rsid w:val="00113ACA"/>
    <w:rsid w:val="00113E45"/>
    <w:rsid w:val="00115554"/>
    <w:rsid w:val="00115B66"/>
    <w:rsid w:val="00115FFB"/>
    <w:rsid w:val="0011700E"/>
    <w:rsid w:val="001175C4"/>
    <w:rsid w:val="00117E8D"/>
    <w:rsid w:val="0012061B"/>
    <w:rsid w:val="00120AF1"/>
    <w:rsid w:val="0012107D"/>
    <w:rsid w:val="00121081"/>
    <w:rsid w:val="001213A2"/>
    <w:rsid w:val="00121AB7"/>
    <w:rsid w:val="00121ED7"/>
    <w:rsid w:val="00121F43"/>
    <w:rsid w:val="001228CA"/>
    <w:rsid w:val="00122D64"/>
    <w:rsid w:val="00124FCC"/>
    <w:rsid w:val="00125315"/>
    <w:rsid w:val="00125B97"/>
    <w:rsid w:val="00125EEB"/>
    <w:rsid w:val="001260E9"/>
    <w:rsid w:val="00126BFF"/>
    <w:rsid w:val="00127B6C"/>
    <w:rsid w:val="0013090C"/>
    <w:rsid w:val="001309C3"/>
    <w:rsid w:val="00130A4F"/>
    <w:rsid w:val="00131360"/>
    <w:rsid w:val="00131590"/>
    <w:rsid w:val="00131757"/>
    <w:rsid w:val="0013178A"/>
    <w:rsid w:val="00131FC0"/>
    <w:rsid w:val="001322DE"/>
    <w:rsid w:val="00132426"/>
    <w:rsid w:val="001324F0"/>
    <w:rsid w:val="00132C4E"/>
    <w:rsid w:val="00132E9D"/>
    <w:rsid w:val="00133492"/>
    <w:rsid w:val="001338B3"/>
    <w:rsid w:val="00133A48"/>
    <w:rsid w:val="00133CBE"/>
    <w:rsid w:val="00133D14"/>
    <w:rsid w:val="00133F4C"/>
    <w:rsid w:val="001340F0"/>
    <w:rsid w:val="001348AC"/>
    <w:rsid w:val="00134AD0"/>
    <w:rsid w:val="001350D8"/>
    <w:rsid w:val="00135513"/>
    <w:rsid w:val="001357CF"/>
    <w:rsid w:val="00135F4C"/>
    <w:rsid w:val="00136426"/>
    <w:rsid w:val="00136DCF"/>
    <w:rsid w:val="0013777E"/>
    <w:rsid w:val="00137C97"/>
    <w:rsid w:val="00140838"/>
    <w:rsid w:val="001408B4"/>
    <w:rsid w:val="0014097F"/>
    <w:rsid w:val="00140EC2"/>
    <w:rsid w:val="001414B3"/>
    <w:rsid w:val="001415CA"/>
    <w:rsid w:val="001419E4"/>
    <w:rsid w:val="001424DE"/>
    <w:rsid w:val="001429CC"/>
    <w:rsid w:val="00142BF4"/>
    <w:rsid w:val="00143DBC"/>
    <w:rsid w:val="0014409A"/>
    <w:rsid w:val="001443AA"/>
    <w:rsid w:val="001449AF"/>
    <w:rsid w:val="00144BDA"/>
    <w:rsid w:val="00144D74"/>
    <w:rsid w:val="0014502E"/>
    <w:rsid w:val="001453DC"/>
    <w:rsid w:val="0014558F"/>
    <w:rsid w:val="00145BB1"/>
    <w:rsid w:val="00145CE8"/>
    <w:rsid w:val="00145E27"/>
    <w:rsid w:val="001465B1"/>
    <w:rsid w:val="001467C7"/>
    <w:rsid w:val="00146BD7"/>
    <w:rsid w:val="00146CA4"/>
    <w:rsid w:val="00147078"/>
    <w:rsid w:val="00147717"/>
    <w:rsid w:val="00147D91"/>
    <w:rsid w:val="0015018C"/>
    <w:rsid w:val="001503C0"/>
    <w:rsid w:val="00150FC9"/>
    <w:rsid w:val="00151176"/>
    <w:rsid w:val="00151343"/>
    <w:rsid w:val="001514D2"/>
    <w:rsid w:val="001518F2"/>
    <w:rsid w:val="00152522"/>
    <w:rsid w:val="00152ACE"/>
    <w:rsid w:val="00152BB2"/>
    <w:rsid w:val="00152C1E"/>
    <w:rsid w:val="00152C7C"/>
    <w:rsid w:val="00153183"/>
    <w:rsid w:val="00153264"/>
    <w:rsid w:val="001534AB"/>
    <w:rsid w:val="00153924"/>
    <w:rsid w:val="00153B87"/>
    <w:rsid w:val="00153BF6"/>
    <w:rsid w:val="00153ED6"/>
    <w:rsid w:val="00154994"/>
    <w:rsid w:val="00154A86"/>
    <w:rsid w:val="00154DAE"/>
    <w:rsid w:val="001551A7"/>
    <w:rsid w:val="001553CE"/>
    <w:rsid w:val="001554CB"/>
    <w:rsid w:val="0015580A"/>
    <w:rsid w:val="00155D92"/>
    <w:rsid w:val="00155FAF"/>
    <w:rsid w:val="001565FD"/>
    <w:rsid w:val="00157578"/>
    <w:rsid w:val="001579FD"/>
    <w:rsid w:val="00157BBD"/>
    <w:rsid w:val="00157C9B"/>
    <w:rsid w:val="001605BA"/>
    <w:rsid w:val="0016078C"/>
    <w:rsid w:val="00160CB1"/>
    <w:rsid w:val="00160CC6"/>
    <w:rsid w:val="00161291"/>
    <w:rsid w:val="001616F3"/>
    <w:rsid w:val="00161E24"/>
    <w:rsid w:val="00161E95"/>
    <w:rsid w:val="00161EE4"/>
    <w:rsid w:val="00162196"/>
    <w:rsid w:val="0016244B"/>
    <w:rsid w:val="001626C1"/>
    <w:rsid w:val="00162DCB"/>
    <w:rsid w:val="001635C8"/>
    <w:rsid w:val="001638BD"/>
    <w:rsid w:val="00163D18"/>
    <w:rsid w:val="001643F6"/>
    <w:rsid w:val="001647BA"/>
    <w:rsid w:val="0016493B"/>
    <w:rsid w:val="00164A16"/>
    <w:rsid w:val="00164AAE"/>
    <w:rsid w:val="00164EA7"/>
    <w:rsid w:val="0016521D"/>
    <w:rsid w:val="00166653"/>
    <w:rsid w:val="0016680A"/>
    <w:rsid w:val="00166A59"/>
    <w:rsid w:val="0016701D"/>
    <w:rsid w:val="00167956"/>
    <w:rsid w:val="00167C57"/>
    <w:rsid w:val="00170206"/>
    <w:rsid w:val="001708E8"/>
    <w:rsid w:val="00170BB1"/>
    <w:rsid w:val="001710CB"/>
    <w:rsid w:val="001714C0"/>
    <w:rsid w:val="00171C0D"/>
    <w:rsid w:val="00172DDB"/>
    <w:rsid w:val="00173C9A"/>
    <w:rsid w:val="00173F69"/>
    <w:rsid w:val="001743B9"/>
    <w:rsid w:val="00174D0D"/>
    <w:rsid w:val="00174F31"/>
    <w:rsid w:val="0017527C"/>
    <w:rsid w:val="001753D6"/>
    <w:rsid w:val="00175791"/>
    <w:rsid w:val="001758BC"/>
    <w:rsid w:val="001759E6"/>
    <w:rsid w:val="00175A62"/>
    <w:rsid w:val="001761BE"/>
    <w:rsid w:val="0017625E"/>
    <w:rsid w:val="00176B70"/>
    <w:rsid w:val="00176D65"/>
    <w:rsid w:val="001774E2"/>
    <w:rsid w:val="001779F1"/>
    <w:rsid w:val="00180405"/>
    <w:rsid w:val="00180635"/>
    <w:rsid w:val="00180C7C"/>
    <w:rsid w:val="00181553"/>
    <w:rsid w:val="00181CF8"/>
    <w:rsid w:val="00181E9E"/>
    <w:rsid w:val="0018249D"/>
    <w:rsid w:val="001826CC"/>
    <w:rsid w:val="00182D36"/>
    <w:rsid w:val="00183806"/>
    <w:rsid w:val="00183863"/>
    <w:rsid w:val="00183C1D"/>
    <w:rsid w:val="00184411"/>
    <w:rsid w:val="00184785"/>
    <w:rsid w:val="00184AC9"/>
    <w:rsid w:val="0018570A"/>
    <w:rsid w:val="00185A87"/>
    <w:rsid w:val="001862A0"/>
    <w:rsid w:val="00186937"/>
    <w:rsid w:val="00186C84"/>
    <w:rsid w:val="00186E29"/>
    <w:rsid w:val="001873FB"/>
    <w:rsid w:val="001878EC"/>
    <w:rsid w:val="00187E49"/>
    <w:rsid w:val="00187EC1"/>
    <w:rsid w:val="00190259"/>
    <w:rsid w:val="0019027B"/>
    <w:rsid w:val="001902C1"/>
    <w:rsid w:val="001905C7"/>
    <w:rsid w:val="00190AF1"/>
    <w:rsid w:val="00190AFC"/>
    <w:rsid w:val="00190C2F"/>
    <w:rsid w:val="00190DBA"/>
    <w:rsid w:val="0019126D"/>
    <w:rsid w:val="001915F2"/>
    <w:rsid w:val="0019171E"/>
    <w:rsid w:val="00191A55"/>
    <w:rsid w:val="00191E86"/>
    <w:rsid w:val="00191F1D"/>
    <w:rsid w:val="001929AF"/>
    <w:rsid w:val="00192C4D"/>
    <w:rsid w:val="00193150"/>
    <w:rsid w:val="00193379"/>
    <w:rsid w:val="00193F62"/>
    <w:rsid w:val="00194737"/>
    <w:rsid w:val="0019495D"/>
    <w:rsid w:val="00194B92"/>
    <w:rsid w:val="00195941"/>
    <w:rsid w:val="00195CAA"/>
    <w:rsid w:val="00195F11"/>
    <w:rsid w:val="0019606E"/>
    <w:rsid w:val="00196232"/>
    <w:rsid w:val="001964B7"/>
    <w:rsid w:val="001965BC"/>
    <w:rsid w:val="00196691"/>
    <w:rsid w:val="00196E84"/>
    <w:rsid w:val="00197778"/>
    <w:rsid w:val="001A00F8"/>
    <w:rsid w:val="001A01D3"/>
    <w:rsid w:val="001A03DF"/>
    <w:rsid w:val="001A083B"/>
    <w:rsid w:val="001A09D5"/>
    <w:rsid w:val="001A0C53"/>
    <w:rsid w:val="001A0DD0"/>
    <w:rsid w:val="001A1804"/>
    <w:rsid w:val="001A21D2"/>
    <w:rsid w:val="001A2276"/>
    <w:rsid w:val="001A2687"/>
    <w:rsid w:val="001A2D35"/>
    <w:rsid w:val="001A3676"/>
    <w:rsid w:val="001A36D8"/>
    <w:rsid w:val="001A3803"/>
    <w:rsid w:val="001A407E"/>
    <w:rsid w:val="001A41C6"/>
    <w:rsid w:val="001A4936"/>
    <w:rsid w:val="001A5614"/>
    <w:rsid w:val="001A5910"/>
    <w:rsid w:val="001A6086"/>
    <w:rsid w:val="001A60B5"/>
    <w:rsid w:val="001A6B9A"/>
    <w:rsid w:val="001A6BFD"/>
    <w:rsid w:val="001A6E16"/>
    <w:rsid w:val="001A7A6A"/>
    <w:rsid w:val="001A7AE1"/>
    <w:rsid w:val="001A7D7B"/>
    <w:rsid w:val="001A7DBF"/>
    <w:rsid w:val="001B07F0"/>
    <w:rsid w:val="001B0841"/>
    <w:rsid w:val="001B0BC6"/>
    <w:rsid w:val="001B132E"/>
    <w:rsid w:val="001B1461"/>
    <w:rsid w:val="001B1743"/>
    <w:rsid w:val="001B1AD7"/>
    <w:rsid w:val="001B1C4B"/>
    <w:rsid w:val="001B303C"/>
    <w:rsid w:val="001B3045"/>
    <w:rsid w:val="001B3377"/>
    <w:rsid w:val="001B341E"/>
    <w:rsid w:val="001B3639"/>
    <w:rsid w:val="001B3876"/>
    <w:rsid w:val="001B3A4D"/>
    <w:rsid w:val="001B4791"/>
    <w:rsid w:val="001B4827"/>
    <w:rsid w:val="001B4878"/>
    <w:rsid w:val="001B49A0"/>
    <w:rsid w:val="001B53B1"/>
    <w:rsid w:val="001B642D"/>
    <w:rsid w:val="001B64C3"/>
    <w:rsid w:val="001B66C0"/>
    <w:rsid w:val="001B6766"/>
    <w:rsid w:val="001B6FED"/>
    <w:rsid w:val="001B754E"/>
    <w:rsid w:val="001B78F8"/>
    <w:rsid w:val="001C0C49"/>
    <w:rsid w:val="001C0CD7"/>
    <w:rsid w:val="001C0D1D"/>
    <w:rsid w:val="001C10B6"/>
    <w:rsid w:val="001C19F3"/>
    <w:rsid w:val="001C1D1D"/>
    <w:rsid w:val="001C1DA3"/>
    <w:rsid w:val="001C1FA1"/>
    <w:rsid w:val="001C246A"/>
    <w:rsid w:val="001C2CCC"/>
    <w:rsid w:val="001C4481"/>
    <w:rsid w:val="001C4ADA"/>
    <w:rsid w:val="001C52B4"/>
    <w:rsid w:val="001C582A"/>
    <w:rsid w:val="001C591D"/>
    <w:rsid w:val="001C66B1"/>
    <w:rsid w:val="001C6D3B"/>
    <w:rsid w:val="001C7237"/>
    <w:rsid w:val="001C7878"/>
    <w:rsid w:val="001D07BD"/>
    <w:rsid w:val="001D1000"/>
    <w:rsid w:val="001D104C"/>
    <w:rsid w:val="001D16CB"/>
    <w:rsid w:val="001D16EC"/>
    <w:rsid w:val="001D1C1A"/>
    <w:rsid w:val="001D20C6"/>
    <w:rsid w:val="001D3CEB"/>
    <w:rsid w:val="001D48D3"/>
    <w:rsid w:val="001D4EB2"/>
    <w:rsid w:val="001D583C"/>
    <w:rsid w:val="001D63CD"/>
    <w:rsid w:val="001D6A45"/>
    <w:rsid w:val="001D6EC9"/>
    <w:rsid w:val="001D6F73"/>
    <w:rsid w:val="001D7625"/>
    <w:rsid w:val="001D782B"/>
    <w:rsid w:val="001D7AB8"/>
    <w:rsid w:val="001D7DDE"/>
    <w:rsid w:val="001D7F6F"/>
    <w:rsid w:val="001E0DD3"/>
    <w:rsid w:val="001E2112"/>
    <w:rsid w:val="001E3379"/>
    <w:rsid w:val="001E36E9"/>
    <w:rsid w:val="001E3E9D"/>
    <w:rsid w:val="001E4146"/>
    <w:rsid w:val="001E4C32"/>
    <w:rsid w:val="001E4C7A"/>
    <w:rsid w:val="001E545F"/>
    <w:rsid w:val="001E6028"/>
    <w:rsid w:val="001E64C7"/>
    <w:rsid w:val="001E65B2"/>
    <w:rsid w:val="001E6EBB"/>
    <w:rsid w:val="001F06D4"/>
    <w:rsid w:val="001F1184"/>
    <w:rsid w:val="001F121F"/>
    <w:rsid w:val="001F171B"/>
    <w:rsid w:val="001F1929"/>
    <w:rsid w:val="001F22F4"/>
    <w:rsid w:val="001F23E7"/>
    <w:rsid w:val="001F2F91"/>
    <w:rsid w:val="001F342F"/>
    <w:rsid w:val="001F3633"/>
    <w:rsid w:val="001F38FB"/>
    <w:rsid w:val="001F447D"/>
    <w:rsid w:val="001F4C47"/>
    <w:rsid w:val="001F4CDC"/>
    <w:rsid w:val="001F5039"/>
    <w:rsid w:val="001F5AAD"/>
    <w:rsid w:val="001F77E0"/>
    <w:rsid w:val="001F7E00"/>
    <w:rsid w:val="00200114"/>
    <w:rsid w:val="00200192"/>
    <w:rsid w:val="0020087F"/>
    <w:rsid w:val="00200D5F"/>
    <w:rsid w:val="00200ED1"/>
    <w:rsid w:val="0020169A"/>
    <w:rsid w:val="00201739"/>
    <w:rsid w:val="002017BC"/>
    <w:rsid w:val="002029AA"/>
    <w:rsid w:val="0020316C"/>
    <w:rsid w:val="0020340E"/>
    <w:rsid w:val="00203F5B"/>
    <w:rsid w:val="002046BF"/>
    <w:rsid w:val="0020669A"/>
    <w:rsid w:val="00206896"/>
    <w:rsid w:val="00206D08"/>
    <w:rsid w:val="00206DCC"/>
    <w:rsid w:val="00207477"/>
    <w:rsid w:val="0020762A"/>
    <w:rsid w:val="00207D55"/>
    <w:rsid w:val="00207FC8"/>
    <w:rsid w:val="002108FA"/>
    <w:rsid w:val="00210E95"/>
    <w:rsid w:val="0021154F"/>
    <w:rsid w:val="0021185D"/>
    <w:rsid w:val="002119E1"/>
    <w:rsid w:val="00211BB8"/>
    <w:rsid w:val="002121AA"/>
    <w:rsid w:val="00212689"/>
    <w:rsid w:val="00212B3D"/>
    <w:rsid w:val="00212B76"/>
    <w:rsid w:val="00213457"/>
    <w:rsid w:val="002138EE"/>
    <w:rsid w:val="00213AA5"/>
    <w:rsid w:val="00213B37"/>
    <w:rsid w:val="00213CCC"/>
    <w:rsid w:val="00214059"/>
    <w:rsid w:val="00214438"/>
    <w:rsid w:val="00215247"/>
    <w:rsid w:val="002152F2"/>
    <w:rsid w:val="00215680"/>
    <w:rsid w:val="00215684"/>
    <w:rsid w:val="00217054"/>
    <w:rsid w:val="0021722A"/>
    <w:rsid w:val="002177CE"/>
    <w:rsid w:val="00217B15"/>
    <w:rsid w:val="0022034B"/>
    <w:rsid w:val="00220746"/>
    <w:rsid w:val="00220948"/>
    <w:rsid w:val="002212BC"/>
    <w:rsid w:val="00221667"/>
    <w:rsid w:val="00221942"/>
    <w:rsid w:val="00221AC7"/>
    <w:rsid w:val="00221CC9"/>
    <w:rsid w:val="00222DF8"/>
    <w:rsid w:val="00222FAA"/>
    <w:rsid w:val="0022374F"/>
    <w:rsid w:val="0022467D"/>
    <w:rsid w:val="00224F92"/>
    <w:rsid w:val="00225198"/>
    <w:rsid w:val="002254A7"/>
    <w:rsid w:val="00225D7A"/>
    <w:rsid w:val="00226008"/>
    <w:rsid w:val="00226922"/>
    <w:rsid w:val="00226A68"/>
    <w:rsid w:val="0022719F"/>
    <w:rsid w:val="002275C0"/>
    <w:rsid w:val="00227B65"/>
    <w:rsid w:val="00230125"/>
    <w:rsid w:val="00230BD9"/>
    <w:rsid w:val="00230EB3"/>
    <w:rsid w:val="00230F07"/>
    <w:rsid w:val="00232BB2"/>
    <w:rsid w:val="002331B4"/>
    <w:rsid w:val="00233699"/>
    <w:rsid w:val="00233BF0"/>
    <w:rsid w:val="00233E77"/>
    <w:rsid w:val="00233F93"/>
    <w:rsid w:val="00234AF8"/>
    <w:rsid w:val="00234DFE"/>
    <w:rsid w:val="002358C5"/>
    <w:rsid w:val="0023590B"/>
    <w:rsid w:val="0023602D"/>
    <w:rsid w:val="0023684D"/>
    <w:rsid w:val="00236AD9"/>
    <w:rsid w:val="00236ADF"/>
    <w:rsid w:val="00236D79"/>
    <w:rsid w:val="00236ED2"/>
    <w:rsid w:val="0023753E"/>
    <w:rsid w:val="00237FB4"/>
    <w:rsid w:val="0024088A"/>
    <w:rsid w:val="00240B41"/>
    <w:rsid w:val="00241755"/>
    <w:rsid w:val="002420C9"/>
    <w:rsid w:val="002422CF"/>
    <w:rsid w:val="0024274F"/>
    <w:rsid w:val="00243022"/>
    <w:rsid w:val="00243056"/>
    <w:rsid w:val="00243636"/>
    <w:rsid w:val="00243AED"/>
    <w:rsid w:val="00243FD5"/>
    <w:rsid w:val="002444AA"/>
    <w:rsid w:val="002446B6"/>
    <w:rsid w:val="00244B54"/>
    <w:rsid w:val="002454A9"/>
    <w:rsid w:val="0024569C"/>
    <w:rsid w:val="00245B02"/>
    <w:rsid w:val="00245CE5"/>
    <w:rsid w:val="00246ADF"/>
    <w:rsid w:val="0024702A"/>
    <w:rsid w:val="002474A1"/>
    <w:rsid w:val="00247E79"/>
    <w:rsid w:val="00251233"/>
    <w:rsid w:val="0025160F"/>
    <w:rsid w:val="002516AE"/>
    <w:rsid w:val="00251D65"/>
    <w:rsid w:val="00252078"/>
    <w:rsid w:val="0025265A"/>
    <w:rsid w:val="002528F0"/>
    <w:rsid w:val="00252A37"/>
    <w:rsid w:val="00252C34"/>
    <w:rsid w:val="002536C3"/>
    <w:rsid w:val="00253DF8"/>
    <w:rsid w:val="002541B6"/>
    <w:rsid w:val="0025468A"/>
    <w:rsid w:val="00254819"/>
    <w:rsid w:val="00254F1B"/>
    <w:rsid w:val="00255055"/>
    <w:rsid w:val="00255571"/>
    <w:rsid w:val="00255C8A"/>
    <w:rsid w:val="00255E90"/>
    <w:rsid w:val="002566B8"/>
    <w:rsid w:val="002566EB"/>
    <w:rsid w:val="00257450"/>
    <w:rsid w:val="002575BA"/>
    <w:rsid w:val="00257944"/>
    <w:rsid w:val="00260124"/>
    <w:rsid w:val="00260C32"/>
    <w:rsid w:val="002618AC"/>
    <w:rsid w:val="00261EE0"/>
    <w:rsid w:val="0026231B"/>
    <w:rsid w:val="00262675"/>
    <w:rsid w:val="002626B4"/>
    <w:rsid w:val="00262CFB"/>
    <w:rsid w:val="00263825"/>
    <w:rsid w:val="00263C64"/>
    <w:rsid w:val="00264D8E"/>
    <w:rsid w:val="00264E84"/>
    <w:rsid w:val="002652E6"/>
    <w:rsid w:val="00265662"/>
    <w:rsid w:val="002656DB"/>
    <w:rsid w:val="00265734"/>
    <w:rsid w:val="00265C24"/>
    <w:rsid w:val="00266495"/>
    <w:rsid w:val="002667BC"/>
    <w:rsid w:val="00266AFE"/>
    <w:rsid w:val="00266FB7"/>
    <w:rsid w:val="002675D9"/>
    <w:rsid w:val="002701EC"/>
    <w:rsid w:val="00270276"/>
    <w:rsid w:val="00270FCA"/>
    <w:rsid w:val="00271A8E"/>
    <w:rsid w:val="002721F9"/>
    <w:rsid w:val="00272269"/>
    <w:rsid w:val="002724FC"/>
    <w:rsid w:val="002727B4"/>
    <w:rsid w:val="00272E33"/>
    <w:rsid w:val="00272E4E"/>
    <w:rsid w:val="002732EA"/>
    <w:rsid w:val="00273623"/>
    <w:rsid w:val="00273CB3"/>
    <w:rsid w:val="00273DB0"/>
    <w:rsid w:val="00273E18"/>
    <w:rsid w:val="00274391"/>
    <w:rsid w:val="002744A6"/>
    <w:rsid w:val="002746A4"/>
    <w:rsid w:val="00275699"/>
    <w:rsid w:val="002765BD"/>
    <w:rsid w:val="00277351"/>
    <w:rsid w:val="0027735A"/>
    <w:rsid w:val="002779D1"/>
    <w:rsid w:val="00277E37"/>
    <w:rsid w:val="00280B1D"/>
    <w:rsid w:val="0028108E"/>
    <w:rsid w:val="002815D5"/>
    <w:rsid w:val="00281A71"/>
    <w:rsid w:val="00281BBC"/>
    <w:rsid w:val="00281C96"/>
    <w:rsid w:val="002821F5"/>
    <w:rsid w:val="002828C4"/>
    <w:rsid w:val="00282A47"/>
    <w:rsid w:val="00282AB5"/>
    <w:rsid w:val="00283147"/>
    <w:rsid w:val="002836AB"/>
    <w:rsid w:val="00283E38"/>
    <w:rsid w:val="002840A4"/>
    <w:rsid w:val="00285E78"/>
    <w:rsid w:val="00287295"/>
    <w:rsid w:val="0028780A"/>
    <w:rsid w:val="00287875"/>
    <w:rsid w:val="00287F4F"/>
    <w:rsid w:val="002907FD"/>
    <w:rsid w:val="00290C2A"/>
    <w:rsid w:val="00290F10"/>
    <w:rsid w:val="0029132A"/>
    <w:rsid w:val="002919F8"/>
    <w:rsid w:val="00291A33"/>
    <w:rsid w:val="002920C2"/>
    <w:rsid w:val="002923A6"/>
    <w:rsid w:val="00292A70"/>
    <w:rsid w:val="002934F1"/>
    <w:rsid w:val="0029378B"/>
    <w:rsid w:val="0029424E"/>
    <w:rsid w:val="00294D96"/>
    <w:rsid w:val="00294E00"/>
    <w:rsid w:val="002950E2"/>
    <w:rsid w:val="0029579B"/>
    <w:rsid w:val="002957A1"/>
    <w:rsid w:val="00296210"/>
    <w:rsid w:val="002968F1"/>
    <w:rsid w:val="002971F9"/>
    <w:rsid w:val="00297E7C"/>
    <w:rsid w:val="002A02AD"/>
    <w:rsid w:val="002A03AB"/>
    <w:rsid w:val="002A0661"/>
    <w:rsid w:val="002A0B79"/>
    <w:rsid w:val="002A0EB2"/>
    <w:rsid w:val="002A0EDC"/>
    <w:rsid w:val="002A1BA5"/>
    <w:rsid w:val="002A232C"/>
    <w:rsid w:val="002A27DF"/>
    <w:rsid w:val="002A2BC8"/>
    <w:rsid w:val="002A34E1"/>
    <w:rsid w:val="002A3991"/>
    <w:rsid w:val="002A3E2B"/>
    <w:rsid w:val="002A41D0"/>
    <w:rsid w:val="002A49C3"/>
    <w:rsid w:val="002A4ECF"/>
    <w:rsid w:val="002A4FE9"/>
    <w:rsid w:val="002A51BA"/>
    <w:rsid w:val="002A5299"/>
    <w:rsid w:val="002A5981"/>
    <w:rsid w:val="002A5A12"/>
    <w:rsid w:val="002A5EA4"/>
    <w:rsid w:val="002A6091"/>
    <w:rsid w:val="002A687B"/>
    <w:rsid w:val="002A6E62"/>
    <w:rsid w:val="002A7716"/>
    <w:rsid w:val="002A7D0B"/>
    <w:rsid w:val="002B0127"/>
    <w:rsid w:val="002B0482"/>
    <w:rsid w:val="002B057B"/>
    <w:rsid w:val="002B1C73"/>
    <w:rsid w:val="002B210F"/>
    <w:rsid w:val="002B239C"/>
    <w:rsid w:val="002B2AF1"/>
    <w:rsid w:val="002B2B2A"/>
    <w:rsid w:val="002B3718"/>
    <w:rsid w:val="002B3788"/>
    <w:rsid w:val="002B3B43"/>
    <w:rsid w:val="002B3DF8"/>
    <w:rsid w:val="002B4396"/>
    <w:rsid w:val="002B48E1"/>
    <w:rsid w:val="002B501B"/>
    <w:rsid w:val="002B56BE"/>
    <w:rsid w:val="002B56F4"/>
    <w:rsid w:val="002B5FEB"/>
    <w:rsid w:val="002B64D6"/>
    <w:rsid w:val="002B684D"/>
    <w:rsid w:val="002B6B2B"/>
    <w:rsid w:val="002B6BD3"/>
    <w:rsid w:val="002B78C0"/>
    <w:rsid w:val="002B7D6D"/>
    <w:rsid w:val="002B7E9B"/>
    <w:rsid w:val="002C066A"/>
    <w:rsid w:val="002C0C84"/>
    <w:rsid w:val="002C14FD"/>
    <w:rsid w:val="002C16C8"/>
    <w:rsid w:val="002C1CD6"/>
    <w:rsid w:val="002C2001"/>
    <w:rsid w:val="002C2795"/>
    <w:rsid w:val="002C2D81"/>
    <w:rsid w:val="002C4D2E"/>
    <w:rsid w:val="002C5AC8"/>
    <w:rsid w:val="002C5BD4"/>
    <w:rsid w:val="002C5D41"/>
    <w:rsid w:val="002C6591"/>
    <w:rsid w:val="002C6936"/>
    <w:rsid w:val="002C6FD5"/>
    <w:rsid w:val="002C718A"/>
    <w:rsid w:val="002C7484"/>
    <w:rsid w:val="002C760E"/>
    <w:rsid w:val="002C7B6B"/>
    <w:rsid w:val="002C7C1F"/>
    <w:rsid w:val="002D01F5"/>
    <w:rsid w:val="002D0249"/>
    <w:rsid w:val="002D062F"/>
    <w:rsid w:val="002D0ED1"/>
    <w:rsid w:val="002D0F9E"/>
    <w:rsid w:val="002D0FC8"/>
    <w:rsid w:val="002D152D"/>
    <w:rsid w:val="002D1744"/>
    <w:rsid w:val="002D1833"/>
    <w:rsid w:val="002D2302"/>
    <w:rsid w:val="002D2692"/>
    <w:rsid w:val="002D2F20"/>
    <w:rsid w:val="002D379F"/>
    <w:rsid w:val="002D38E7"/>
    <w:rsid w:val="002D3961"/>
    <w:rsid w:val="002D3B0C"/>
    <w:rsid w:val="002D3DEA"/>
    <w:rsid w:val="002D5257"/>
    <w:rsid w:val="002D5478"/>
    <w:rsid w:val="002D5739"/>
    <w:rsid w:val="002D59F1"/>
    <w:rsid w:val="002D5C94"/>
    <w:rsid w:val="002D5E28"/>
    <w:rsid w:val="002D65D1"/>
    <w:rsid w:val="002D6B90"/>
    <w:rsid w:val="002D6C33"/>
    <w:rsid w:val="002E0017"/>
    <w:rsid w:val="002E0046"/>
    <w:rsid w:val="002E06E8"/>
    <w:rsid w:val="002E1B6D"/>
    <w:rsid w:val="002E1FD5"/>
    <w:rsid w:val="002E268C"/>
    <w:rsid w:val="002E296D"/>
    <w:rsid w:val="002E2F33"/>
    <w:rsid w:val="002E2FF9"/>
    <w:rsid w:val="002E3EBF"/>
    <w:rsid w:val="002E3F48"/>
    <w:rsid w:val="002E4032"/>
    <w:rsid w:val="002E4864"/>
    <w:rsid w:val="002E4934"/>
    <w:rsid w:val="002E4AD8"/>
    <w:rsid w:val="002E54B6"/>
    <w:rsid w:val="002E55F0"/>
    <w:rsid w:val="002E57F3"/>
    <w:rsid w:val="002E5ACC"/>
    <w:rsid w:val="002E5F91"/>
    <w:rsid w:val="002E644E"/>
    <w:rsid w:val="002E6543"/>
    <w:rsid w:val="002F0175"/>
    <w:rsid w:val="002F0DC5"/>
    <w:rsid w:val="002F1234"/>
    <w:rsid w:val="002F1D43"/>
    <w:rsid w:val="002F2017"/>
    <w:rsid w:val="002F2067"/>
    <w:rsid w:val="002F290E"/>
    <w:rsid w:val="002F298E"/>
    <w:rsid w:val="002F38F3"/>
    <w:rsid w:val="002F3D00"/>
    <w:rsid w:val="002F40CE"/>
    <w:rsid w:val="002F4134"/>
    <w:rsid w:val="002F552F"/>
    <w:rsid w:val="002F55A2"/>
    <w:rsid w:val="002F561C"/>
    <w:rsid w:val="002F6050"/>
    <w:rsid w:val="002F62B7"/>
    <w:rsid w:val="002F6368"/>
    <w:rsid w:val="002F6463"/>
    <w:rsid w:val="002F66CA"/>
    <w:rsid w:val="002F6F3E"/>
    <w:rsid w:val="002F73E3"/>
    <w:rsid w:val="002F7990"/>
    <w:rsid w:val="0030007B"/>
    <w:rsid w:val="003000DE"/>
    <w:rsid w:val="003005BB"/>
    <w:rsid w:val="00301989"/>
    <w:rsid w:val="003022B3"/>
    <w:rsid w:val="00302715"/>
    <w:rsid w:val="0030287B"/>
    <w:rsid w:val="00302E3F"/>
    <w:rsid w:val="00303375"/>
    <w:rsid w:val="003035C5"/>
    <w:rsid w:val="00303643"/>
    <w:rsid w:val="00303A09"/>
    <w:rsid w:val="00303ACE"/>
    <w:rsid w:val="00303C49"/>
    <w:rsid w:val="00303CC4"/>
    <w:rsid w:val="00304691"/>
    <w:rsid w:val="00304B58"/>
    <w:rsid w:val="00304DF0"/>
    <w:rsid w:val="00305540"/>
    <w:rsid w:val="003056CB"/>
    <w:rsid w:val="00305AA5"/>
    <w:rsid w:val="003066E6"/>
    <w:rsid w:val="00306DA9"/>
    <w:rsid w:val="00307249"/>
    <w:rsid w:val="003077EE"/>
    <w:rsid w:val="003104A1"/>
    <w:rsid w:val="003104F5"/>
    <w:rsid w:val="00310733"/>
    <w:rsid w:val="0031073A"/>
    <w:rsid w:val="00310A4C"/>
    <w:rsid w:val="0031111B"/>
    <w:rsid w:val="003114A8"/>
    <w:rsid w:val="00311B54"/>
    <w:rsid w:val="00311ED4"/>
    <w:rsid w:val="00312597"/>
    <w:rsid w:val="00312878"/>
    <w:rsid w:val="00313227"/>
    <w:rsid w:val="0031372C"/>
    <w:rsid w:val="00313970"/>
    <w:rsid w:val="00313D6F"/>
    <w:rsid w:val="0031429B"/>
    <w:rsid w:val="00314842"/>
    <w:rsid w:val="00314BE5"/>
    <w:rsid w:val="00314E0D"/>
    <w:rsid w:val="00314EB9"/>
    <w:rsid w:val="00315103"/>
    <w:rsid w:val="003156CB"/>
    <w:rsid w:val="00315AE2"/>
    <w:rsid w:val="00315B51"/>
    <w:rsid w:val="00316651"/>
    <w:rsid w:val="0031693E"/>
    <w:rsid w:val="00316E25"/>
    <w:rsid w:val="00317D7B"/>
    <w:rsid w:val="00317E49"/>
    <w:rsid w:val="00317F50"/>
    <w:rsid w:val="0032025F"/>
    <w:rsid w:val="00320982"/>
    <w:rsid w:val="003213F7"/>
    <w:rsid w:val="003214D3"/>
    <w:rsid w:val="00321793"/>
    <w:rsid w:val="00321D48"/>
    <w:rsid w:val="00321E4B"/>
    <w:rsid w:val="003222F8"/>
    <w:rsid w:val="003226B4"/>
    <w:rsid w:val="003237E2"/>
    <w:rsid w:val="00323840"/>
    <w:rsid w:val="003243E8"/>
    <w:rsid w:val="00324B5A"/>
    <w:rsid w:val="00324C3B"/>
    <w:rsid w:val="00325825"/>
    <w:rsid w:val="003258CE"/>
    <w:rsid w:val="00325939"/>
    <w:rsid w:val="00325E7E"/>
    <w:rsid w:val="00326180"/>
    <w:rsid w:val="00326AE0"/>
    <w:rsid w:val="0032701E"/>
    <w:rsid w:val="00327306"/>
    <w:rsid w:val="0032769E"/>
    <w:rsid w:val="0033024F"/>
    <w:rsid w:val="00330522"/>
    <w:rsid w:val="00330791"/>
    <w:rsid w:val="00330BFA"/>
    <w:rsid w:val="00330CA2"/>
    <w:rsid w:val="00330DBD"/>
    <w:rsid w:val="00330FFE"/>
    <w:rsid w:val="003315BA"/>
    <w:rsid w:val="003316C2"/>
    <w:rsid w:val="00331B09"/>
    <w:rsid w:val="00331B3B"/>
    <w:rsid w:val="00331EFA"/>
    <w:rsid w:val="00331FB7"/>
    <w:rsid w:val="003320FA"/>
    <w:rsid w:val="00332738"/>
    <w:rsid w:val="0033283E"/>
    <w:rsid w:val="00332A6A"/>
    <w:rsid w:val="00332B2C"/>
    <w:rsid w:val="00332B49"/>
    <w:rsid w:val="00333190"/>
    <w:rsid w:val="003335AF"/>
    <w:rsid w:val="003337E5"/>
    <w:rsid w:val="00333A56"/>
    <w:rsid w:val="00333A6B"/>
    <w:rsid w:val="00333B90"/>
    <w:rsid w:val="0033441D"/>
    <w:rsid w:val="00334638"/>
    <w:rsid w:val="003346F5"/>
    <w:rsid w:val="00334748"/>
    <w:rsid w:val="00334B1B"/>
    <w:rsid w:val="00334B43"/>
    <w:rsid w:val="00334B9D"/>
    <w:rsid w:val="0033509F"/>
    <w:rsid w:val="00335228"/>
    <w:rsid w:val="003357B1"/>
    <w:rsid w:val="00335B3B"/>
    <w:rsid w:val="00335D2B"/>
    <w:rsid w:val="003368F1"/>
    <w:rsid w:val="0033718C"/>
    <w:rsid w:val="00337730"/>
    <w:rsid w:val="003378F3"/>
    <w:rsid w:val="00340013"/>
    <w:rsid w:val="00340095"/>
    <w:rsid w:val="0034062D"/>
    <w:rsid w:val="003406F2"/>
    <w:rsid w:val="0034095A"/>
    <w:rsid w:val="0034281A"/>
    <w:rsid w:val="00342F16"/>
    <w:rsid w:val="00343152"/>
    <w:rsid w:val="00343539"/>
    <w:rsid w:val="00343570"/>
    <w:rsid w:val="0034359D"/>
    <w:rsid w:val="00343A1F"/>
    <w:rsid w:val="00343FDE"/>
    <w:rsid w:val="003440DB"/>
    <w:rsid w:val="003445C0"/>
    <w:rsid w:val="003447AD"/>
    <w:rsid w:val="00344AFC"/>
    <w:rsid w:val="0034537C"/>
    <w:rsid w:val="0034726A"/>
    <w:rsid w:val="003474B6"/>
    <w:rsid w:val="00350201"/>
    <w:rsid w:val="00350755"/>
    <w:rsid w:val="003508EB"/>
    <w:rsid w:val="00350B80"/>
    <w:rsid w:val="00350E3B"/>
    <w:rsid w:val="003516B7"/>
    <w:rsid w:val="003519E1"/>
    <w:rsid w:val="00351B3B"/>
    <w:rsid w:val="00352699"/>
    <w:rsid w:val="00352D42"/>
    <w:rsid w:val="003531E6"/>
    <w:rsid w:val="00353C34"/>
    <w:rsid w:val="00354061"/>
    <w:rsid w:val="003540D1"/>
    <w:rsid w:val="003540F5"/>
    <w:rsid w:val="0035426B"/>
    <w:rsid w:val="00354285"/>
    <w:rsid w:val="0035451D"/>
    <w:rsid w:val="00354B6F"/>
    <w:rsid w:val="00354B76"/>
    <w:rsid w:val="003551F5"/>
    <w:rsid w:val="003557BF"/>
    <w:rsid w:val="00355985"/>
    <w:rsid w:val="0035623A"/>
    <w:rsid w:val="0035628D"/>
    <w:rsid w:val="003563DD"/>
    <w:rsid w:val="00356DD7"/>
    <w:rsid w:val="00357E63"/>
    <w:rsid w:val="00360610"/>
    <w:rsid w:val="00360CE5"/>
    <w:rsid w:val="00361329"/>
    <w:rsid w:val="00361A66"/>
    <w:rsid w:val="00361AF2"/>
    <w:rsid w:val="00361BED"/>
    <w:rsid w:val="00361E40"/>
    <w:rsid w:val="00361EEA"/>
    <w:rsid w:val="00361FB1"/>
    <w:rsid w:val="0036214E"/>
    <w:rsid w:val="003621EC"/>
    <w:rsid w:val="003625C8"/>
    <w:rsid w:val="00362726"/>
    <w:rsid w:val="00363537"/>
    <w:rsid w:val="003648C2"/>
    <w:rsid w:val="00364F96"/>
    <w:rsid w:val="003654B1"/>
    <w:rsid w:val="00366169"/>
    <w:rsid w:val="0036649B"/>
    <w:rsid w:val="00366997"/>
    <w:rsid w:val="00366C76"/>
    <w:rsid w:val="0036745D"/>
    <w:rsid w:val="003676FB"/>
    <w:rsid w:val="00367B0F"/>
    <w:rsid w:val="00367C32"/>
    <w:rsid w:val="00367EEF"/>
    <w:rsid w:val="00367F8A"/>
    <w:rsid w:val="003702C8"/>
    <w:rsid w:val="0037129F"/>
    <w:rsid w:val="003715D4"/>
    <w:rsid w:val="00371909"/>
    <w:rsid w:val="003726E3"/>
    <w:rsid w:val="003728B5"/>
    <w:rsid w:val="00372F23"/>
    <w:rsid w:val="003732F1"/>
    <w:rsid w:val="0037396E"/>
    <w:rsid w:val="00373CC0"/>
    <w:rsid w:val="00374037"/>
    <w:rsid w:val="00374070"/>
    <w:rsid w:val="003742D1"/>
    <w:rsid w:val="00374552"/>
    <w:rsid w:val="00374D4A"/>
    <w:rsid w:val="003750FC"/>
    <w:rsid w:val="00375874"/>
    <w:rsid w:val="00375CC3"/>
    <w:rsid w:val="00375D10"/>
    <w:rsid w:val="00376C9C"/>
    <w:rsid w:val="00376EFA"/>
    <w:rsid w:val="003772E9"/>
    <w:rsid w:val="003778F1"/>
    <w:rsid w:val="00377A8F"/>
    <w:rsid w:val="00377FF8"/>
    <w:rsid w:val="0038176D"/>
    <w:rsid w:val="00381F28"/>
    <w:rsid w:val="00382284"/>
    <w:rsid w:val="00382B0B"/>
    <w:rsid w:val="00382BDD"/>
    <w:rsid w:val="00382DB5"/>
    <w:rsid w:val="00382FA8"/>
    <w:rsid w:val="00383114"/>
    <w:rsid w:val="00383C53"/>
    <w:rsid w:val="00384147"/>
    <w:rsid w:val="00384168"/>
    <w:rsid w:val="00384394"/>
    <w:rsid w:val="003843CD"/>
    <w:rsid w:val="00385590"/>
    <w:rsid w:val="00385A15"/>
    <w:rsid w:val="00386112"/>
    <w:rsid w:val="0038670C"/>
    <w:rsid w:val="00387284"/>
    <w:rsid w:val="00387636"/>
    <w:rsid w:val="003901AE"/>
    <w:rsid w:val="0039024A"/>
    <w:rsid w:val="0039038C"/>
    <w:rsid w:val="00390467"/>
    <w:rsid w:val="003906DE"/>
    <w:rsid w:val="00390723"/>
    <w:rsid w:val="0039090F"/>
    <w:rsid w:val="0039099D"/>
    <w:rsid w:val="003916A0"/>
    <w:rsid w:val="00391B2D"/>
    <w:rsid w:val="00391DE1"/>
    <w:rsid w:val="003923F4"/>
    <w:rsid w:val="0039278E"/>
    <w:rsid w:val="00392874"/>
    <w:rsid w:val="00392BD9"/>
    <w:rsid w:val="00392D54"/>
    <w:rsid w:val="0039373B"/>
    <w:rsid w:val="00393827"/>
    <w:rsid w:val="00393BA4"/>
    <w:rsid w:val="00393DB5"/>
    <w:rsid w:val="00394173"/>
    <w:rsid w:val="00395023"/>
    <w:rsid w:val="003958AE"/>
    <w:rsid w:val="00395D25"/>
    <w:rsid w:val="00396159"/>
    <w:rsid w:val="003962B8"/>
    <w:rsid w:val="00396A51"/>
    <w:rsid w:val="00396DAA"/>
    <w:rsid w:val="003973C7"/>
    <w:rsid w:val="00397D37"/>
    <w:rsid w:val="003A039F"/>
    <w:rsid w:val="003A0404"/>
    <w:rsid w:val="003A0959"/>
    <w:rsid w:val="003A1935"/>
    <w:rsid w:val="003A1AB6"/>
    <w:rsid w:val="003A1D2A"/>
    <w:rsid w:val="003A20AB"/>
    <w:rsid w:val="003A20F0"/>
    <w:rsid w:val="003A2BF0"/>
    <w:rsid w:val="003A2E53"/>
    <w:rsid w:val="003A32BA"/>
    <w:rsid w:val="003A3452"/>
    <w:rsid w:val="003A3606"/>
    <w:rsid w:val="003A384B"/>
    <w:rsid w:val="003A392D"/>
    <w:rsid w:val="003A42B2"/>
    <w:rsid w:val="003A448B"/>
    <w:rsid w:val="003A49E9"/>
    <w:rsid w:val="003A5386"/>
    <w:rsid w:val="003A548E"/>
    <w:rsid w:val="003A6510"/>
    <w:rsid w:val="003A6AFF"/>
    <w:rsid w:val="003A76E3"/>
    <w:rsid w:val="003A7A53"/>
    <w:rsid w:val="003A7E2D"/>
    <w:rsid w:val="003B0294"/>
    <w:rsid w:val="003B0AE3"/>
    <w:rsid w:val="003B0E47"/>
    <w:rsid w:val="003B0EDC"/>
    <w:rsid w:val="003B0EE0"/>
    <w:rsid w:val="003B143B"/>
    <w:rsid w:val="003B148F"/>
    <w:rsid w:val="003B1B5C"/>
    <w:rsid w:val="003B2513"/>
    <w:rsid w:val="003B26F6"/>
    <w:rsid w:val="003B2943"/>
    <w:rsid w:val="003B2AA2"/>
    <w:rsid w:val="003B2D8A"/>
    <w:rsid w:val="003B2ED7"/>
    <w:rsid w:val="003B331C"/>
    <w:rsid w:val="003B36C9"/>
    <w:rsid w:val="003B37DE"/>
    <w:rsid w:val="003B40A1"/>
    <w:rsid w:val="003B486F"/>
    <w:rsid w:val="003B5704"/>
    <w:rsid w:val="003B57D2"/>
    <w:rsid w:val="003B59D7"/>
    <w:rsid w:val="003B5E34"/>
    <w:rsid w:val="003B6178"/>
    <w:rsid w:val="003B660F"/>
    <w:rsid w:val="003B68F3"/>
    <w:rsid w:val="003B6A5D"/>
    <w:rsid w:val="003B6CE7"/>
    <w:rsid w:val="003B6D32"/>
    <w:rsid w:val="003B6F11"/>
    <w:rsid w:val="003B723A"/>
    <w:rsid w:val="003B740F"/>
    <w:rsid w:val="003B756A"/>
    <w:rsid w:val="003B7B83"/>
    <w:rsid w:val="003B7E98"/>
    <w:rsid w:val="003B7ED0"/>
    <w:rsid w:val="003B7EE2"/>
    <w:rsid w:val="003C079F"/>
    <w:rsid w:val="003C07C8"/>
    <w:rsid w:val="003C14F1"/>
    <w:rsid w:val="003C1594"/>
    <w:rsid w:val="003C1731"/>
    <w:rsid w:val="003C17E6"/>
    <w:rsid w:val="003C2130"/>
    <w:rsid w:val="003C23C9"/>
    <w:rsid w:val="003C2EF2"/>
    <w:rsid w:val="003C3DBE"/>
    <w:rsid w:val="003C3F1F"/>
    <w:rsid w:val="003C440D"/>
    <w:rsid w:val="003C4550"/>
    <w:rsid w:val="003C4CF6"/>
    <w:rsid w:val="003C4E27"/>
    <w:rsid w:val="003C58C9"/>
    <w:rsid w:val="003C58E6"/>
    <w:rsid w:val="003C5C01"/>
    <w:rsid w:val="003C5F54"/>
    <w:rsid w:val="003C66CC"/>
    <w:rsid w:val="003C6731"/>
    <w:rsid w:val="003C6980"/>
    <w:rsid w:val="003D06CF"/>
    <w:rsid w:val="003D0EC3"/>
    <w:rsid w:val="003D13E0"/>
    <w:rsid w:val="003D1CCB"/>
    <w:rsid w:val="003D1FF7"/>
    <w:rsid w:val="003D2EAB"/>
    <w:rsid w:val="003D3C59"/>
    <w:rsid w:val="003D450B"/>
    <w:rsid w:val="003D47B4"/>
    <w:rsid w:val="003D5097"/>
    <w:rsid w:val="003D52BF"/>
    <w:rsid w:val="003D65DF"/>
    <w:rsid w:val="003D73C0"/>
    <w:rsid w:val="003D767D"/>
    <w:rsid w:val="003D7AD8"/>
    <w:rsid w:val="003E0205"/>
    <w:rsid w:val="003E036C"/>
    <w:rsid w:val="003E0973"/>
    <w:rsid w:val="003E0C91"/>
    <w:rsid w:val="003E1083"/>
    <w:rsid w:val="003E18FC"/>
    <w:rsid w:val="003E1982"/>
    <w:rsid w:val="003E1D15"/>
    <w:rsid w:val="003E1FC3"/>
    <w:rsid w:val="003E37B1"/>
    <w:rsid w:val="003E39D6"/>
    <w:rsid w:val="003E3A24"/>
    <w:rsid w:val="003E4084"/>
    <w:rsid w:val="003E412A"/>
    <w:rsid w:val="003E46F2"/>
    <w:rsid w:val="003E4ECB"/>
    <w:rsid w:val="003E5169"/>
    <w:rsid w:val="003E5AE8"/>
    <w:rsid w:val="003E61A6"/>
    <w:rsid w:val="003E68F2"/>
    <w:rsid w:val="003E7350"/>
    <w:rsid w:val="003F0ED8"/>
    <w:rsid w:val="003F1183"/>
    <w:rsid w:val="003F122A"/>
    <w:rsid w:val="003F1F04"/>
    <w:rsid w:val="003F238E"/>
    <w:rsid w:val="003F2870"/>
    <w:rsid w:val="003F28A8"/>
    <w:rsid w:val="003F28E5"/>
    <w:rsid w:val="003F2B1B"/>
    <w:rsid w:val="003F379E"/>
    <w:rsid w:val="003F3BB6"/>
    <w:rsid w:val="003F3E4D"/>
    <w:rsid w:val="003F40E8"/>
    <w:rsid w:val="003F4FFC"/>
    <w:rsid w:val="003F5B2E"/>
    <w:rsid w:val="003F5DC6"/>
    <w:rsid w:val="003F6A1D"/>
    <w:rsid w:val="003F7024"/>
    <w:rsid w:val="003F75E5"/>
    <w:rsid w:val="003F793C"/>
    <w:rsid w:val="003F7A44"/>
    <w:rsid w:val="003F7F1E"/>
    <w:rsid w:val="004000DB"/>
    <w:rsid w:val="00400402"/>
    <w:rsid w:val="004010C9"/>
    <w:rsid w:val="004015C5"/>
    <w:rsid w:val="00401BA1"/>
    <w:rsid w:val="00402938"/>
    <w:rsid w:val="00402BE9"/>
    <w:rsid w:val="00402FD4"/>
    <w:rsid w:val="004032B7"/>
    <w:rsid w:val="00403964"/>
    <w:rsid w:val="0040418C"/>
    <w:rsid w:val="00404459"/>
    <w:rsid w:val="00404D92"/>
    <w:rsid w:val="00404DBB"/>
    <w:rsid w:val="00404FC9"/>
    <w:rsid w:val="00405916"/>
    <w:rsid w:val="004060CB"/>
    <w:rsid w:val="00406B16"/>
    <w:rsid w:val="00406D6A"/>
    <w:rsid w:val="00407044"/>
    <w:rsid w:val="00407096"/>
    <w:rsid w:val="00407C42"/>
    <w:rsid w:val="00410C4C"/>
    <w:rsid w:val="00410FA7"/>
    <w:rsid w:val="004116E7"/>
    <w:rsid w:val="00411A0E"/>
    <w:rsid w:val="00411A70"/>
    <w:rsid w:val="00412293"/>
    <w:rsid w:val="00412343"/>
    <w:rsid w:val="004125FE"/>
    <w:rsid w:val="00413540"/>
    <w:rsid w:val="00413A71"/>
    <w:rsid w:val="00413F2F"/>
    <w:rsid w:val="00414152"/>
    <w:rsid w:val="004141D6"/>
    <w:rsid w:val="0041423D"/>
    <w:rsid w:val="004145E7"/>
    <w:rsid w:val="0041498D"/>
    <w:rsid w:val="00414FC6"/>
    <w:rsid w:val="00415660"/>
    <w:rsid w:val="00415797"/>
    <w:rsid w:val="00415EA4"/>
    <w:rsid w:val="00416421"/>
    <w:rsid w:val="00416967"/>
    <w:rsid w:val="00416BA8"/>
    <w:rsid w:val="00417449"/>
    <w:rsid w:val="00417693"/>
    <w:rsid w:val="00417952"/>
    <w:rsid w:val="00417A07"/>
    <w:rsid w:val="00417A40"/>
    <w:rsid w:val="00417CFC"/>
    <w:rsid w:val="004208D1"/>
    <w:rsid w:val="00420937"/>
    <w:rsid w:val="00421120"/>
    <w:rsid w:val="00421BA9"/>
    <w:rsid w:val="00421CFA"/>
    <w:rsid w:val="00421FDF"/>
    <w:rsid w:val="00422160"/>
    <w:rsid w:val="00422A7D"/>
    <w:rsid w:val="004234DE"/>
    <w:rsid w:val="0042356C"/>
    <w:rsid w:val="00423C5B"/>
    <w:rsid w:val="00423F40"/>
    <w:rsid w:val="00424408"/>
    <w:rsid w:val="004249F2"/>
    <w:rsid w:val="00424C11"/>
    <w:rsid w:val="00424CA9"/>
    <w:rsid w:val="00424DCB"/>
    <w:rsid w:val="004255B2"/>
    <w:rsid w:val="004259B7"/>
    <w:rsid w:val="00425C57"/>
    <w:rsid w:val="00425E54"/>
    <w:rsid w:val="004261C0"/>
    <w:rsid w:val="0042706A"/>
    <w:rsid w:val="00427861"/>
    <w:rsid w:val="00427DE7"/>
    <w:rsid w:val="00427E52"/>
    <w:rsid w:val="004305A9"/>
    <w:rsid w:val="004308AA"/>
    <w:rsid w:val="00430BAE"/>
    <w:rsid w:val="00430F8C"/>
    <w:rsid w:val="00431015"/>
    <w:rsid w:val="00431754"/>
    <w:rsid w:val="004317A5"/>
    <w:rsid w:val="004319D2"/>
    <w:rsid w:val="00431A8C"/>
    <w:rsid w:val="00431D38"/>
    <w:rsid w:val="00431DCE"/>
    <w:rsid w:val="004321FC"/>
    <w:rsid w:val="00432A64"/>
    <w:rsid w:val="00432F0D"/>
    <w:rsid w:val="004332EC"/>
    <w:rsid w:val="0043410B"/>
    <w:rsid w:val="004341A9"/>
    <w:rsid w:val="004342AD"/>
    <w:rsid w:val="00434764"/>
    <w:rsid w:val="004351FB"/>
    <w:rsid w:val="00435A1A"/>
    <w:rsid w:val="00435E43"/>
    <w:rsid w:val="0043630B"/>
    <w:rsid w:val="00436544"/>
    <w:rsid w:val="00436602"/>
    <w:rsid w:val="00436E59"/>
    <w:rsid w:val="00437148"/>
    <w:rsid w:val="004371FB"/>
    <w:rsid w:val="0043789D"/>
    <w:rsid w:val="00437C6B"/>
    <w:rsid w:val="00437CB9"/>
    <w:rsid w:val="004406F7"/>
    <w:rsid w:val="00441073"/>
    <w:rsid w:val="004412B6"/>
    <w:rsid w:val="004418EA"/>
    <w:rsid w:val="00441B5F"/>
    <w:rsid w:val="004424D3"/>
    <w:rsid w:val="004427B3"/>
    <w:rsid w:val="00442957"/>
    <w:rsid w:val="00442A6E"/>
    <w:rsid w:val="00442BCD"/>
    <w:rsid w:val="00442DE3"/>
    <w:rsid w:val="00442EB9"/>
    <w:rsid w:val="00443020"/>
    <w:rsid w:val="004435F5"/>
    <w:rsid w:val="00444501"/>
    <w:rsid w:val="00444571"/>
    <w:rsid w:val="0044461A"/>
    <w:rsid w:val="00444998"/>
    <w:rsid w:val="004449D9"/>
    <w:rsid w:val="00444B97"/>
    <w:rsid w:val="004450E9"/>
    <w:rsid w:val="004452F3"/>
    <w:rsid w:val="00445677"/>
    <w:rsid w:val="00445EC0"/>
    <w:rsid w:val="00447476"/>
    <w:rsid w:val="00447586"/>
    <w:rsid w:val="00447B4B"/>
    <w:rsid w:val="00447E79"/>
    <w:rsid w:val="004501D4"/>
    <w:rsid w:val="00450C90"/>
    <w:rsid w:val="00452363"/>
    <w:rsid w:val="004528CD"/>
    <w:rsid w:val="00452E3D"/>
    <w:rsid w:val="00452F0A"/>
    <w:rsid w:val="00453172"/>
    <w:rsid w:val="004543A0"/>
    <w:rsid w:val="00454593"/>
    <w:rsid w:val="004545E7"/>
    <w:rsid w:val="00454A87"/>
    <w:rsid w:val="00454C8B"/>
    <w:rsid w:val="004556C6"/>
    <w:rsid w:val="00455DA5"/>
    <w:rsid w:val="0045641A"/>
    <w:rsid w:val="00456674"/>
    <w:rsid w:val="00456C3C"/>
    <w:rsid w:val="00456C5F"/>
    <w:rsid w:val="00456E1A"/>
    <w:rsid w:val="00457581"/>
    <w:rsid w:val="00457813"/>
    <w:rsid w:val="00457945"/>
    <w:rsid w:val="004600D6"/>
    <w:rsid w:val="00460B5B"/>
    <w:rsid w:val="004610DF"/>
    <w:rsid w:val="0046133F"/>
    <w:rsid w:val="00461345"/>
    <w:rsid w:val="0046177A"/>
    <w:rsid w:val="00461A20"/>
    <w:rsid w:val="00461F14"/>
    <w:rsid w:val="0046219B"/>
    <w:rsid w:val="0046256E"/>
    <w:rsid w:val="00462609"/>
    <w:rsid w:val="00462B7E"/>
    <w:rsid w:val="004630D7"/>
    <w:rsid w:val="00463B9A"/>
    <w:rsid w:val="00463D07"/>
    <w:rsid w:val="00463F2E"/>
    <w:rsid w:val="0046426B"/>
    <w:rsid w:val="0046468A"/>
    <w:rsid w:val="0046485B"/>
    <w:rsid w:val="0046487E"/>
    <w:rsid w:val="0046493A"/>
    <w:rsid w:val="0046502F"/>
    <w:rsid w:val="004652CD"/>
    <w:rsid w:val="00465CA0"/>
    <w:rsid w:val="00466178"/>
    <w:rsid w:val="004665B1"/>
    <w:rsid w:val="004665B3"/>
    <w:rsid w:val="0046792C"/>
    <w:rsid w:val="0047017A"/>
    <w:rsid w:val="004707D6"/>
    <w:rsid w:val="00470868"/>
    <w:rsid w:val="0047174F"/>
    <w:rsid w:val="00472191"/>
    <w:rsid w:val="0047221D"/>
    <w:rsid w:val="004726F8"/>
    <w:rsid w:val="004727B9"/>
    <w:rsid w:val="004739E1"/>
    <w:rsid w:val="00473D27"/>
    <w:rsid w:val="0047421B"/>
    <w:rsid w:val="0047426A"/>
    <w:rsid w:val="004743A9"/>
    <w:rsid w:val="00474BC5"/>
    <w:rsid w:val="00474D5B"/>
    <w:rsid w:val="00475163"/>
    <w:rsid w:val="004753D6"/>
    <w:rsid w:val="00475437"/>
    <w:rsid w:val="0047570F"/>
    <w:rsid w:val="0047592E"/>
    <w:rsid w:val="0047642D"/>
    <w:rsid w:val="00476769"/>
    <w:rsid w:val="004768F7"/>
    <w:rsid w:val="00476BDD"/>
    <w:rsid w:val="00476D90"/>
    <w:rsid w:val="00477403"/>
    <w:rsid w:val="00477BD4"/>
    <w:rsid w:val="0048020A"/>
    <w:rsid w:val="00480696"/>
    <w:rsid w:val="00481605"/>
    <w:rsid w:val="004835BC"/>
    <w:rsid w:val="00483884"/>
    <w:rsid w:val="004839A2"/>
    <w:rsid w:val="004847B9"/>
    <w:rsid w:val="00484A72"/>
    <w:rsid w:val="00484CC4"/>
    <w:rsid w:val="00484F88"/>
    <w:rsid w:val="004853E1"/>
    <w:rsid w:val="00485496"/>
    <w:rsid w:val="0048577C"/>
    <w:rsid w:val="00485CC9"/>
    <w:rsid w:val="004862BE"/>
    <w:rsid w:val="00486A1E"/>
    <w:rsid w:val="00486D16"/>
    <w:rsid w:val="00487319"/>
    <w:rsid w:val="00487751"/>
    <w:rsid w:val="004900F7"/>
    <w:rsid w:val="00490267"/>
    <w:rsid w:val="0049189F"/>
    <w:rsid w:val="00491AA6"/>
    <w:rsid w:val="00491DDB"/>
    <w:rsid w:val="00492366"/>
    <w:rsid w:val="00492519"/>
    <w:rsid w:val="00492A51"/>
    <w:rsid w:val="00492DBA"/>
    <w:rsid w:val="00493CA4"/>
    <w:rsid w:val="00493D7D"/>
    <w:rsid w:val="00493F97"/>
    <w:rsid w:val="00494B97"/>
    <w:rsid w:val="0049532D"/>
    <w:rsid w:val="00495583"/>
    <w:rsid w:val="00495866"/>
    <w:rsid w:val="00495B79"/>
    <w:rsid w:val="00496218"/>
    <w:rsid w:val="0049663E"/>
    <w:rsid w:val="00496641"/>
    <w:rsid w:val="00496AF4"/>
    <w:rsid w:val="0049728A"/>
    <w:rsid w:val="004975F1"/>
    <w:rsid w:val="004A0346"/>
    <w:rsid w:val="004A0405"/>
    <w:rsid w:val="004A0DF6"/>
    <w:rsid w:val="004A1B70"/>
    <w:rsid w:val="004A1E97"/>
    <w:rsid w:val="004A20DD"/>
    <w:rsid w:val="004A2A78"/>
    <w:rsid w:val="004A2FD1"/>
    <w:rsid w:val="004A4FB0"/>
    <w:rsid w:val="004A546A"/>
    <w:rsid w:val="004A576F"/>
    <w:rsid w:val="004A6BAE"/>
    <w:rsid w:val="004A6CAF"/>
    <w:rsid w:val="004A72F7"/>
    <w:rsid w:val="004A7528"/>
    <w:rsid w:val="004A7DC0"/>
    <w:rsid w:val="004B0153"/>
    <w:rsid w:val="004B037E"/>
    <w:rsid w:val="004B0911"/>
    <w:rsid w:val="004B0F21"/>
    <w:rsid w:val="004B14F8"/>
    <w:rsid w:val="004B1C13"/>
    <w:rsid w:val="004B2AFB"/>
    <w:rsid w:val="004B2F5A"/>
    <w:rsid w:val="004B3606"/>
    <w:rsid w:val="004B365B"/>
    <w:rsid w:val="004B3B95"/>
    <w:rsid w:val="004B3C90"/>
    <w:rsid w:val="004B42C7"/>
    <w:rsid w:val="004B4DC8"/>
    <w:rsid w:val="004B54E7"/>
    <w:rsid w:val="004B59BB"/>
    <w:rsid w:val="004B5DDD"/>
    <w:rsid w:val="004B70AF"/>
    <w:rsid w:val="004B71F8"/>
    <w:rsid w:val="004C0123"/>
    <w:rsid w:val="004C0827"/>
    <w:rsid w:val="004C1291"/>
    <w:rsid w:val="004C133C"/>
    <w:rsid w:val="004C1718"/>
    <w:rsid w:val="004C17FB"/>
    <w:rsid w:val="004C19B6"/>
    <w:rsid w:val="004C3C9B"/>
    <w:rsid w:val="004C3CB6"/>
    <w:rsid w:val="004C40E2"/>
    <w:rsid w:val="004C49F6"/>
    <w:rsid w:val="004C4B91"/>
    <w:rsid w:val="004C508F"/>
    <w:rsid w:val="004C5116"/>
    <w:rsid w:val="004C5236"/>
    <w:rsid w:val="004C5243"/>
    <w:rsid w:val="004C5565"/>
    <w:rsid w:val="004C5A9A"/>
    <w:rsid w:val="004C60A1"/>
    <w:rsid w:val="004C645D"/>
    <w:rsid w:val="004C64D3"/>
    <w:rsid w:val="004C69E9"/>
    <w:rsid w:val="004C6CBD"/>
    <w:rsid w:val="004C6F88"/>
    <w:rsid w:val="004C70E1"/>
    <w:rsid w:val="004C77D5"/>
    <w:rsid w:val="004C7825"/>
    <w:rsid w:val="004D0102"/>
    <w:rsid w:val="004D051D"/>
    <w:rsid w:val="004D0A6B"/>
    <w:rsid w:val="004D0D7F"/>
    <w:rsid w:val="004D114E"/>
    <w:rsid w:val="004D1500"/>
    <w:rsid w:val="004D15C9"/>
    <w:rsid w:val="004D19E2"/>
    <w:rsid w:val="004D1EBB"/>
    <w:rsid w:val="004D1FF7"/>
    <w:rsid w:val="004D232F"/>
    <w:rsid w:val="004D2594"/>
    <w:rsid w:val="004D2925"/>
    <w:rsid w:val="004D2D66"/>
    <w:rsid w:val="004D2F57"/>
    <w:rsid w:val="004D30D3"/>
    <w:rsid w:val="004D3573"/>
    <w:rsid w:val="004D392E"/>
    <w:rsid w:val="004D3EB4"/>
    <w:rsid w:val="004D3FB8"/>
    <w:rsid w:val="004D402A"/>
    <w:rsid w:val="004D4276"/>
    <w:rsid w:val="004D4E03"/>
    <w:rsid w:val="004D58B9"/>
    <w:rsid w:val="004D5E2D"/>
    <w:rsid w:val="004D5EDD"/>
    <w:rsid w:val="004D6221"/>
    <w:rsid w:val="004D6440"/>
    <w:rsid w:val="004D6CCE"/>
    <w:rsid w:val="004D6E0D"/>
    <w:rsid w:val="004D6E2E"/>
    <w:rsid w:val="004D762E"/>
    <w:rsid w:val="004D7E24"/>
    <w:rsid w:val="004D7E3A"/>
    <w:rsid w:val="004D7E3E"/>
    <w:rsid w:val="004E004D"/>
    <w:rsid w:val="004E08A2"/>
    <w:rsid w:val="004E0AB2"/>
    <w:rsid w:val="004E0D02"/>
    <w:rsid w:val="004E0F6C"/>
    <w:rsid w:val="004E0F95"/>
    <w:rsid w:val="004E1181"/>
    <w:rsid w:val="004E1BB8"/>
    <w:rsid w:val="004E1BE3"/>
    <w:rsid w:val="004E1FD9"/>
    <w:rsid w:val="004E2294"/>
    <w:rsid w:val="004E25D1"/>
    <w:rsid w:val="004E26E6"/>
    <w:rsid w:val="004E287B"/>
    <w:rsid w:val="004E315E"/>
    <w:rsid w:val="004E32AD"/>
    <w:rsid w:val="004E33AA"/>
    <w:rsid w:val="004E417F"/>
    <w:rsid w:val="004E466F"/>
    <w:rsid w:val="004E4D97"/>
    <w:rsid w:val="004E5934"/>
    <w:rsid w:val="004E5C14"/>
    <w:rsid w:val="004E5CF5"/>
    <w:rsid w:val="004E5D2A"/>
    <w:rsid w:val="004E5E56"/>
    <w:rsid w:val="004E5E9C"/>
    <w:rsid w:val="004E5EC4"/>
    <w:rsid w:val="004E6AA8"/>
    <w:rsid w:val="004E6B0A"/>
    <w:rsid w:val="004E6C2F"/>
    <w:rsid w:val="004E71BF"/>
    <w:rsid w:val="004E7419"/>
    <w:rsid w:val="004E7545"/>
    <w:rsid w:val="004E767D"/>
    <w:rsid w:val="004E77DD"/>
    <w:rsid w:val="004E79AA"/>
    <w:rsid w:val="004E7AD2"/>
    <w:rsid w:val="004E7CEE"/>
    <w:rsid w:val="004E7DC3"/>
    <w:rsid w:val="004F005F"/>
    <w:rsid w:val="004F04AB"/>
    <w:rsid w:val="004F0772"/>
    <w:rsid w:val="004F108A"/>
    <w:rsid w:val="004F1F0D"/>
    <w:rsid w:val="004F23F2"/>
    <w:rsid w:val="004F2D62"/>
    <w:rsid w:val="004F3440"/>
    <w:rsid w:val="004F3498"/>
    <w:rsid w:val="004F381C"/>
    <w:rsid w:val="004F3C11"/>
    <w:rsid w:val="004F3C8C"/>
    <w:rsid w:val="004F4265"/>
    <w:rsid w:val="004F4771"/>
    <w:rsid w:val="004F4CE4"/>
    <w:rsid w:val="004F4F52"/>
    <w:rsid w:val="004F4FD6"/>
    <w:rsid w:val="004F51AA"/>
    <w:rsid w:val="004F5A84"/>
    <w:rsid w:val="004F5B9D"/>
    <w:rsid w:val="004F5EB3"/>
    <w:rsid w:val="004F6176"/>
    <w:rsid w:val="004F617A"/>
    <w:rsid w:val="004F682B"/>
    <w:rsid w:val="004F6D1F"/>
    <w:rsid w:val="004F6D52"/>
    <w:rsid w:val="004F7735"/>
    <w:rsid w:val="004F7C67"/>
    <w:rsid w:val="00500455"/>
    <w:rsid w:val="0050153D"/>
    <w:rsid w:val="00501602"/>
    <w:rsid w:val="00501855"/>
    <w:rsid w:val="00501915"/>
    <w:rsid w:val="00501B78"/>
    <w:rsid w:val="005043EE"/>
    <w:rsid w:val="00504BD4"/>
    <w:rsid w:val="0050576A"/>
    <w:rsid w:val="0050583E"/>
    <w:rsid w:val="005059EC"/>
    <w:rsid w:val="00505E92"/>
    <w:rsid w:val="005066DF"/>
    <w:rsid w:val="00506876"/>
    <w:rsid w:val="00506E4A"/>
    <w:rsid w:val="0050750E"/>
    <w:rsid w:val="00507B57"/>
    <w:rsid w:val="00507CB2"/>
    <w:rsid w:val="0051009A"/>
    <w:rsid w:val="005100C1"/>
    <w:rsid w:val="00510752"/>
    <w:rsid w:val="0051090F"/>
    <w:rsid w:val="00510AC0"/>
    <w:rsid w:val="00510B79"/>
    <w:rsid w:val="00510CC4"/>
    <w:rsid w:val="00510F4E"/>
    <w:rsid w:val="00511368"/>
    <w:rsid w:val="005116A4"/>
    <w:rsid w:val="00511DAC"/>
    <w:rsid w:val="005127E0"/>
    <w:rsid w:val="005127F4"/>
    <w:rsid w:val="0051347E"/>
    <w:rsid w:val="00513615"/>
    <w:rsid w:val="00513829"/>
    <w:rsid w:val="00513977"/>
    <w:rsid w:val="00513A61"/>
    <w:rsid w:val="00513FB2"/>
    <w:rsid w:val="00514639"/>
    <w:rsid w:val="0051490F"/>
    <w:rsid w:val="00514CFB"/>
    <w:rsid w:val="00515B52"/>
    <w:rsid w:val="00515BC3"/>
    <w:rsid w:val="00515CC7"/>
    <w:rsid w:val="00515D10"/>
    <w:rsid w:val="00515D45"/>
    <w:rsid w:val="005162BB"/>
    <w:rsid w:val="005162E5"/>
    <w:rsid w:val="00516C99"/>
    <w:rsid w:val="00516E59"/>
    <w:rsid w:val="0052032C"/>
    <w:rsid w:val="005208CE"/>
    <w:rsid w:val="00520914"/>
    <w:rsid w:val="00520E30"/>
    <w:rsid w:val="00521A49"/>
    <w:rsid w:val="00521B2F"/>
    <w:rsid w:val="00521FDC"/>
    <w:rsid w:val="0052201B"/>
    <w:rsid w:val="00522273"/>
    <w:rsid w:val="00522C8C"/>
    <w:rsid w:val="00523B95"/>
    <w:rsid w:val="00523C53"/>
    <w:rsid w:val="00523E16"/>
    <w:rsid w:val="00523E47"/>
    <w:rsid w:val="00524255"/>
    <w:rsid w:val="0052476A"/>
    <w:rsid w:val="00524988"/>
    <w:rsid w:val="00524DEC"/>
    <w:rsid w:val="00524EC0"/>
    <w:rsid w:val="005250F3"/>
    <w:rsid w:val="00525374"/>
    <w:rsid w:val="00525868"/>
    <w:rsid w:val="00525E3E"/>
    <w:rsid w:val="0052605E"/>
    <w:rsid w:val="0052612B"/>
    <w:rsid w:val="0052624B"/>
    <w:rsid w:val="0052677C"/>
    <w:rsid w:val="00526ADF"/>
    <w:rsid w:val="00526E0A"/>
    <w:rsid w:val="00527263"/>
    <w:rsid w:val="005274E0"/>
    <w:rsid w:val="00527AF9"/>
    <w:rsid w:val="00530266"/>
    <w:rsid w:val="00530812"/>
    <w:rsid w:val="00531558"/>
    <w:rsid w:val="00531A7D"/>
    <w:rsid w:val="0053267F"/>
    <w:rsid w:val="00532B45"/>
    <w:rsid w:val="00532C52"/>
    <w:rsid w:val="005342FD"/>
    <w:rsid w:val="00534BAA"/>
    <w:rsid w:val="005353D8"/>
    <w:rsid w:val="005354AF"/>
    <w:rsid w:val="0053556E"/>
    <w:rsid w:val="00535B7B"/>
    <w:rsid w:val="00536301"/>
    <w:rsid w:val="00536A76"/>
    <w:rsid w:val="005372EF"/>
    <w:rsid w:val="005374B4"/>
    <w:rsid w:val="005374CB"/>
    <w:rsid w:val="005377DA"/>
    <w:rsid w:val="00537B59"/>
    <w:rsid w:val="00537E56"/>
    <w:rsid w:val="00540125"/>
    <w:rsid w:val="00540500"/>
    <w:rsid w:val="005408F8"/>
    <w:rsid w:val="00540C0B"/>
    <w:rsid w:val="0054109B"/>
    <w:rsid w:val="0054164B"/>
    <w:rsid w:val="00541CD5"/>
    <w:rsid w:val="00541DB7"/>
    <w:rsid w:val="00541F86"/>
    <w:rsid w:val="00542049"/>
    <w:rsid w:val="00542110"/>
    <w:rsid w:val="0054217D"/>
    <w:rsid w:val="00542214"/>
    <w:rsid w:val="0054271C"/>
    <w:rsid w:val="00543549"/>
    <w:rsid w:val="005435EF"/>
    <w:rsid w:val="00543D7B"/>
    <w:rsid w:val="00543F4D"/>
    <w:rsid w:val="00544246"/>
    <w:rsid w:val="00544E0E"/>
    <w:rsid w:val="00544FC9"/>
    <w:rsid w:val="005457CC"/>
    <w:rsid w:val="005467F2"/>
    <w:rsid w:val="005469BA"/>
    <w:rsid w:val="00546A38"/>
    <w:rsid w:val="00546CB5"/>
    <w:rsid w:val="0054710B"/>
    <w:rsid w:val="00547636"/>
    <w:rsid w:val="00547E90"/>
    <w:rsid w:val="00550A2E"/>
    <w:rsid w:val="00550D37"/>
    <w:rsid w:val="00550E62"/>
    <w:rsid w:val="00551BA6"/>
    <w:rsid w:val="00551CB4"/>
    <w:rsid w:val="00551CEF"/>
    <w:rsid w:val="00552019"/>
    <w:rsid w:val="005521C9"/>
    <w:rsid w:val="005523BC"/>
    <w:rsid w:val="0055326E"/>
    <w:rsid w:val="00553306"/>
    <w:rsid w:val="005538A2"/>
    <w:rsid w:val="00553E57"/>
    <w:rsid w:val="005552F2"/>
    <w:rsid w:val="005553B6"/>
    <w:rsid w:val="00556118"/>
    <w:rsid w:val="005574BE"/>
    <w:rsid w:val="00557ABB"/>
    <w:rsid w:val="00557B8C"/>
    <w:rsid w:val="00557DFB"/>
    <w:rsid w:val="0056075B"/>
    <w:rsid w:val="005607A3"/>
    <w:rsid w:val="0056085B"/>
    <w:rsid w:val="005609FF"/>
    <w:rsid w:val="00560ADC"/>
    <w:rsid w:val="00560BE2"/>
    <w:rsid w:val="005616AC"/>
    <w:rsid w:val="00561D7C"/>
    <w:rsid w:val="005620E5"/>
    <w:rsid w:val="005621ED"/>
    <w:rsid w:val="00562520"/>
    <w:rsid w:val="00562803"/>
    <w:rsid w:val="00562B0F"/>
    <w:rsid w:val="00562EE3"/>
    <w:rsid w:val="0056349C"/>
    <w:rsid w:val="00563916"/>
    <w:rsid w:val="00563AB6"/>
    <w:rsid w:val="00563B25"/>
    <w:rsid w:val="00564147"/>
    <w:rsid w:val="005643F4"/>
    <w:rsid w:val="00564479"/>
    <w:rsid w:val="00564F50"/>
    <w:rsid w:val="00565388"/>
    <w:rsid w:val="0056585A"/>
    <w:rsid w:val="00565BC3"/>
    <w:rsid w:val="00565CD1"/>
    <w:rsid w:val="0056632A"/>
    <w:rsid w:val="0056695E"/>
    <w:rsid w:val="00566AD0"/>
    <w:rsid w:val="00566E42"/>
    <w:rsid w:val="005673DA"/>
    <w:rsid w:val="00567CF4"/>
    <w:rsid w:val="00567D88"/>
    <w:rsid w:val="00570528"/>
    <w:rsid w:val="00570822"/>
    <w:rsid w:val="005708DE"/>
    <w:rsid w:val="00571C6F"/>
    <w:rsid w:val="00571D35"/>
    <w:rsid w:val="00571D6E"/>
    <w:rsid w:val="005724E8"/>
    <w:rsid w:val="00572E03"/>
    <w:rsid w:val="00572F74"/>
    <w:rsid w:val="00573125"/>
    <w:rsid w:val="00573155"/>
    <w:rsid w:val="005739BD"/>
    <w:rsid w:val="00573ED3"/>
    <w:rsid w:val="005746B8"/>
    <w:rsid w:val="0057476D"/>
    <w:rsid w:val="00574B62"/>
    <w:rsid w:val="00575808"/>
    <w:rsid w:val="00575985"/>
    <w:rsid w:val="00575C29"/>
    <w:rsid w:val="00576C47"/>
    <w:rsid w:val="00577388"/>
    <w:rsid w:val="005776F7"/>
    <w:rsid w:val="00577B9D"/>
    <w:rsid w:val="005805AA"/>
    <w:rsid w:val="005807F6"/>
    <w:rsid w:val="00580FD7"/>
    <w:rsid w:val="005811FB"/>
    <w:rsid w:val="00582478"/>
    <w:rsid w:val="005828F1"/>
    <w:rsid w:val="00582B7B"/>
    <w:rsid w:val="00583421"/>
    <w:rsid w:val="00583F42"/>
    <w:rsid w:val="00584074"/>
    <w:rsid w:val="00584254"/>
    <w:rsid w:val="005842C7"/>
    <w:rsid w:val="00584ED9"/>
    <w:rsid w:val="00584EDD"/>
    <w:rsid w:val="00586CC0"/>
    <w:rsid w:val="00586ECB"/>
    <w:rsid w:val="005870DD"/>
    <w:rsid w:val="00587642"/>
    <w:rsid w:val="005879D8"/>
    <w:rsid w:val="00587BA1"/>
    <w:rsid w:val="00587BAF"/>
    <w:rsid w:val="00590752"/>
    <w:rsid w:val="00590878"/>
    <w:rsid w:val="00590A8F"/>
    <w:rsid w:val="0059118C"/>
    <w:rsid w:val="005911E6"/>
    <w:rsid w:val="0059153E"/>
    <w:rsid w:val="00591C7D"/>
    <w:rsid w:val="00591CAF"/>
    <w:rsid w:val="00592268"/>
    <w:rsid w:val="005924A3"/>
    <w:rsid w:val="005927EE"/>
    <w:rsid w:val="00592AAB"/>
    <w:rsid w:val="0059332D"/>
    <w:rsid w:val="005941E1"/>
    <w:rsid w:val="00594725"/>
    <w:rsid w:val="00594DC7"/>
    <w:rsid w:val="00595552"/>
    <w:rsid w:val="005955C2"/>
    <w:rsid w:val="0059579D"/>
    <w:rsid w:val="00595C59"/>
    <w:rsid w:val="005967D1"/>
    <w:rsid w:val="00596FF8"/>
    <w:rsid w:val="0059717D"/>
    <w:rsid w:val="005973C6"/>
    <w:rsid w:val="005979F1"/>
    <w:rsid w:val="00597C39"/>
    <w:rsid w:val="005A110B"/>
    <w:rsid w:val="005A11F4"/>
    <w:rsid w:val="005A13C9"/>
    <w:rsid w:val="005A17C6"/>
    <w:rsid w:val="005A195B"/>
    <w:rsid w:val="005A27F2"/>
    <w:rsid w:val="005A2B6A"/>
    <w:rsid w:val="005A2C1A"/>
    <w:rsid w:val="005A2F3A"/>
    <w:rsid w:val="005A37A5"/>
    <w:rsid w:val="005A3B41"/>
    <w:rsid w:val="005A438C"/>
    <w:rsid w:val="005A4996"/>
    <w:rsid w:val="005A4A9D"/>
    <w:rsid w:val="005A4E03"/>
    <w:rsid w:val="005A4FA3"/>
    <w:rsid w:val="005A5175"/>
    <w:rsid w:val="005A5AD6"/>
    <w:rsid w:val="005A6422"/>
    <w:rsid w:val="005A643D"/>
    <w:rsid w:val="005A6664"/>
    <w:rsid w:val="005A6B5C"/>
    <w:rsid w:val="005A6C42"/>
    <w:rsid w:val="005A6EC1"/>
    <w:rsid w:val="005A7349"/>
    <w:rsid w:val="005A7388"/>
    <w:rsid w:val="005A7BB0"/>
    <w:rsid w:val="005A7D4E"/>
    <w:rsid w:val="005A7F40"/>
    <w:rsid w:val="005B028F"/>
    <w:rsid w:val="005B03F3"/>
    <w:rsid w:val="005B0A76"/>
    <w:rsid w:val="005B0C2B"/>
    <w:rsid w:val="005B0F73"/>
    <w:rsid w:val="005B1060"/>
    <w:rsid w:val="005B1675"/>
    <w:rsid w:val="005B23FB"/>
    <w:rsid w:val="005B2B1C"/>
    <w:rsid w:val="005B2CA2"/>
    <w:rsid w:val="005B30AF"/>
    <w:rsid w:val="005B3850"/>
    <w:rsid w:val="005B395A"/>
    <w:rsid w:val="005B3AFC"/>
    <w:rsid w:val="005B3B6C"/>
    <w:rsid w:val="005B3FAB"/>
    <w:rsid w:val="005B4417"/>
    <w:rsid w:val="005B442F"/>
    <w:rsid w:val="005B49D1"/>
    <w:rsid w:val="005B4AFD"/>
    <w:rsid w:val="005B4F90"/>
    <w:rsid w:val="005B56F0"/>
    <w:rsid w:val="005B6261"/>
    <w:rsid w:val="005B67B4"/>
    <w:rsid w:val="005B6CDD"/>
    <w:rsid w:val="005B70F8"/>
    <w:rsid w:val="005B76A9"/>
    <w:rsid w:val="005B7DB0"/>
    <w:rsid w:val="005C0962"/>
    <w:rsid w:val="005C0AA5"/>
    <w:rsid w:val="005C0ABA"/>
    <w:rsid w:val="005C1757"/>
    <w:rsid w:val="005C19B0"/>
    <w:rsid w:val="005C2893"/>
    <w:rsid w:val="005C2949"/>
    <w:rsid w:val="005C2C61"/>
    <w:rsid w:val="005C2E79"/>
    <w:rsid w:val="005C3035"/>
    <w:rsid w:val="005C30FC"/>
    <w:rsid w:val="005C35DE"/>
    <w:rsid w:val="005C395A"/>
    <w:rsid w:val="005C3B11"/>
    <w:rsid w:val="005C3D9D"/>
    <w:rsid w:val="005C3E0E"/>
    <w:rsid w:val="005C421A"/>
    <w:rsid w:val="005C42BF"/>
    <w:rsid w:val="005C4384"/>
    <w:rsid w:val="005C43AD"/>
    <w:rsid w:val="005C4867"/>
    <w:rsid w:val="005C48E3"/>
    <w:rsid w:val="005C4BFC"/>
    <w:rsid w:val="005C4D39"/>
    <w:rsid w:val="005C4DED"/>
    <w:rsid w:val="005C536C"/>
    <w:rsid w:val="005C5419"/>
    <w:rsid w:val="005C584F"/>
    <w:rsid w:val="005C5D1A"/>
    <w:rsid w:val="005C5DF9"/>
    <w:rsid w:val="005C6689"/>
    <w:rsid w:val="005C6A2B"/>
    <w:rsid w:val="005C7E1B"/>
    <w:rsid w:val="005D028B"/>
    <w:rsid w:val="005D04BE"/>
    <w:rsid w:val="005D04E4"/>
    <w:rsid w:val="005D096A"/>
    <w:rsid w:val="005D0B39"/>
    <w:rsid w:val="005D1B2D"/>
    <w:rsid w:val="005D1C06"/>
    <w:rsid w:val="005D1EAA"/>
    <w:rsid w:val="005D2DF2"/>
    <w:rsid w:val="005D2E73"/>
    <w:rsid w:val="005D3101"/>
    <w:rsid w:val="005D314D"/>
    <w:rsid w:val="005D3707"/>
    <w:rsid w:val="005D3F38"/>
    <w:rsid w:val="005D4C40"/>
    <w:rsid w:val="005D518A"/>
    <w:rsid w:val="005D53A5"/>
    <w:rsid w:val="005D6A9F"/>
    <w:rsid w:val="005D7DBE"/>
    <w:rsid w:val="005D7DE0"/>
    <w:rsid w:val="005E006E"/>
    <w:rsid w:val="005E0406"/>
    <w:rsid w:val="005E06A2"/>
    <w:rsid w:val="005E0A28"/>
    <w:rsid w:val="005E0ADC"/>
    <w:rsid w:val="005E0B7C"/>
    <w:rsid w:val="005E114A"/>
    <w:rsid w:val="005E13E5"/>
    <w:rsid w:val="005E156C"/>
    <w:rsid w:val="005E1699"/>
    <w:rsid w:val="005E192C"/>
    <w:rsid w:val="005E1AE1"/>
    <w:rsid w:val="005E1EE3"/>
    <w:rsid w:val="005E1F63"/>
    <w:rsid w:val="005E2672"/>
    <w:rsid w:val="005E2781"/>
    <w:rsid w:val="005E2A35"/>
    <w:rsid w:val="005E3143"/>
    <w:rsid w:val="005E330D"/>
    <w:rsid w:val="005E344C"/>
    <w:rsid w:val="005E37ED"/>
    <w:rsid w:val="005E3821"/>
    <w:rsid w:val="005E43B5"/>
    <w:rsid w:val="005E4979"/>
    <w:rsid w:val="005E4C18"/>
    <w:rsid w:val="005E4DC3"/>
    <w:rsid w:val="005E5196"/>
    <w:rsid w:val="005E51BD"/>
    <w:rsid w:val="005E5450"/>
    <w:rsid w:val="005E5CEA"/>
    <w:rsid w:val="005E5E1D"/>
    <w:rsid w:val="005E618A"/>
    <w:rsid w:val="005E653C"/>
    <w:rsid w:val="005E653F"/>
    <w:rsid w:val="005E6588"/>
    <w:rsid w:val="005E692C"/>
    <w:rsid w:val="005E6A25"/>
    <w:rsid w:val="005E70CB"/>
    <w:rsid w:val="005E716B"/>
    <w:rsid w:val="005E721B"/>
    <w:rsid w:val="005E75FC"/>
    <w:rsid w:val="005E7B93"/>
    <w:rsid w:val="005F00FF"/>
    <w:rsid w:val="005F096E"/>
    <w:rsid w:val="005F0C27"/>
    <w:rsid w:val="005F0ECE"/>
    <w:rsid w:val="005F1072"/>
    <w:rsid w:val="005F10BE"/>
    <w:rsid w:val="005F204E"/>
    <w:rsid w:val="005F2054"/>
    <w:rsid w:val="005F20BC"/>
    <w:rsid w:val="005F233D"/>
    <w:rsid w:val="005F2C1A"/>
    <w:rsid w:val="005F3825"/>
    <w:rsid w:val="005F3991"/>
    <w:rsid w:val="005F3B18"/>
    <w:rsid w:val="005F4813"/>
    <w:rsid w:val="005F4815"/>
    <w:rsid w:val="005F4BC1"/>
    <w:rsid w:val="005F5833"/>
    <w:rsid w:val="005F5EC7"/>
    <w:rsid w:val="005F5FEF"/>
    <w:rsid w:val="005F6231"/>
    <w:rsid w:val="005F67B8"/>
    <w:rsid w:val="005F6A2F"/>
    <w:rsid w:val="005F6C09"/>
    <w:rsid w:val="005F6CCB"/>
    <w:rsid w:val="005F70C4"/>
    <w:rsid w:val="005F7486"/>
    <w:rsid w:val="005F74F5"/>
    <w:rsid w:val="005F7538"/>
    <w:rsid w:val="005F78B7"/>
    <w:rsid w:val="00600538"/>
    <w:rsid w:val="00600539"/>
    <w:rsid w:val="00600FA3"/>
    <w:rsid w:val="00601240"/>
    <w:rsid w:val="006019AB"/>
    <w:rsid w:val="006020C6"/>
    <w:rsid w:val="00602241"/>
    <w:rsid w:val="00602613"/>
    <w:rsid w:val="00602AAE"/>
    <w:rsid w:val="00602F1C"/>
    <w:rsid w:val="0060335A"/>
    <w:rsid w:val="0060351C"/>
    <w:rsid w:val="00603B66"/>
    <w:rsid w:val="00604D3F"/>
    <w:rsid w:val="006056FB"/>
    <w:rsid w:val="0060582F"/>
    <w:rsid w:val="00606381"/>
    <w:rsid w:val="006065E1"/>
    <w:rsid w:val="0061075D"/>
    <w:rsid w:val="00610A6C"/>
    <w:rsid w:val="006110C9"/>
    <w:rsid w:val="00611311"/>
    <w:rsid w:val="006113DF"/>
    <w:rsid w:val="00611B29"/>
    <w:rsid w:val="00611C6C"/>
    <w:rsid w:val="00611E6D"/>
    <w:rsid w:val="00612161"/>
    <w:rsid w:val="00612BE3"/>
    <w:rsid w:val="00612D27"/>
    <w:rsid w:val="00612F94"/>
    <w:rsid w:val="00613045"/>
    <w:rsid w:val="006132DD"/>
    <w:rsid w:val="0061358F"/>
    <w:rsid w:val="00613A5C"/>
    <w:rsid w:val="006143BA"/>
    <w:rsid w:val="006144F9"/>
    <w:rsid w:val="00614EDE"/>
    <w:rsid w:val="006158DF"/>
    <w:rsid w:val="00615BC2"/>
    <w:rsid w:val="006169CC"/>
    <w:rsid w:val="00616DE1"/>
    <w:rsid w:val="00616E04"/>
    <w:rsid w:val="00617242"/>
    <w:rsid w:val="00617540"/>
    <w:rsid w:val="00617779"/>
    <w:rsid w:val="0062021A"/>
    <w:rsid w:val="006202EC"/>
    <w:rsid w:val="00620BB5"/>
    <w:rsid w:val="00621097"/>
    <w:rsid w:val="00621785"/>
    <w:rsid w:val="006219F3"/>
    <w:rsid w:val="0062203A"/>
    <w:rsid w:val="006222E7"/>
    <w:rsid w:val="006224B0"/>
    <w:rsid w:val="006229DC"/>
    <w:rsid w:val="00622D36"/>
    <w:rsid w:val="00622FA1"/>
    <w:rsid w:val="00623619"/>
    <w:rsid w:val="0062385F"/>
    <w:rsid w:val="00623966"/>
    <w:rsid w:val="006242AF"/>
    <w:rsid w:val="0062433D"/>
    <w:rsid w:val="00624542"/>
    <w:rsid w:val="00624765"/>
    <w:rsid w:val="00625AFF"/>
    <w:rsid w:val="006265E6"/>
    <w:rsid w:val="00626716"/>
    <w:rsid w:val="006267E6"/>
    <w:rsid w:val="00626A0F"/>
    <w:rsid w:val="00626C4F"/>
    <w:rsid w:val="00626FC3"/>
    <w:rsid w:val="00627CDA"/>
    <w:rsid w:val="006307AA"/>
    <w:rsid w:val="00630947"/>
    <w:rsid w:val="00630A05"/>
    <w:rsid w:val="00630D50"/>
    <w:rsid w:val="00630EE0"/>
    <w:rsid w:val="0063113E"/>
    <w:rsid w:val="006316C6"/>
    <w:rsid w:val="006317B4"/>
    <w:rsid w:val="00631F04"/>
    <w:rsid w:val="006323A6"/>
    <w:rsid w:val="0063253D"/>
    <w:rsid w:val="00632812"/>
    <w:rsid w:val="00632E2C"/>
    <w:rsid w:val="0063347E"/>
    <w:rsid w:val="006345A0"/>
    <w:rsid w:val="00634763"/>
    <w:rsid w:val="00634FF2"/>
    <w:rsid w:val="006351CE"/>
    <w:rsid w:val="0063598C"/>
    <w:rsid w:val="00635FD4"/>
    <w:rsid w:val="006360D2"/>
    <w:rsid w:val="00636680"/>
    <w:rsid w:val="00636888"/>
    <w:rsid w:val="0063721E"/>
    <w:rsid w:val="006375E7"/>
    <w:rsid w:val="00637C6C"/>
    <w:rsid w:val="00640611"/>
    <w:rsid w:val="0064084F"/>
    <w:rsid w:val="00640B03"/>
    <w:rsid w:val="00640B12"/>
    <w:rsid w:val="00640E29"/>
    <w:rsid w:val="00641209"/>
    <w:rsid w:val="0064142C"/>
    <w:rsid w:val="00641DCB"/>
    <w:rsid w:val="00641E43"/>
    <w:rsid w:val="00643159"/>
    <w:rsid w:val="006437A3"/>
    <w:rsid w:val="00643CA8"/>
    <w:rsid w:val="00643E02"/>
    <w:rsid w:val="0064402D"/>
    <w:rsid w:val="006443FD"/>
    <w:rsid w:val="00644747"/>
    <w:rsid w:val="00644948"/>
    <w:rsid w:val="00645A42"/>
    <w:rsid w:val="00645A58"/>
    <w:rsid w:val="00645F37"/>
    <w:rsid w:val="006471DB"/>
    <w:rsid w:val="00647E68"/>
    <w:rsid w:val="00647FA2"/>
    <w:rsid w:val="0065041C"/>
    <w:rsid w:val="006509FE"/>
    <w:rsid w:val="00650E8E"/>
    <w:rsid w:val="006515B5"/>
    <w:rsid w:val="0065169B"/>
    <w:rsid w:val="0065186E"/>
    <w:rsid w:val="00652041"/>
    <w:rsid w:val="006527BD"/>
    <w:rsid w:val="00652851"/>
    <w:rsid w:val="00653157"/>
    <w:rsid w:val="00653C0B"/>
    <w:rsid w:val="00653D5F"/>
    <w:rsid w:val="00653DC0"/>
    <w:rsid w:val="0065406D"/>
    <w:rsid w:val="0065482B"/>
    <w:rsid w:val="0065492B"/>
    <w:rsid w:val="00654941"/>
    <w:rsid w:val="00654A05"/>
    <w:rsid w:val="00655614"/>
    <w:rsid w:val="00655B71"/>
    <w:rsid w:val="00656203"/>
    <w:rsid w:val="00656756"/>
    <w:rsid w:val="00656B62"/>
    <w:rsid w:val="00656E13"/>
    <w:rsid w:val="00656FDE"/>
    <w:rsid w:val="00657242"/>
    <w:rsid w:val="006574E9"/>
    <w:rsid w:val="00657F71"/>
    <w:rsid w:val="006600A5"/>
    <w:rsid w:val="0066014A"/>
    <w:rsid w:val="00660632"/>
    <w:rsid w:val="00660658"/>
    <w:rsid w:val="006608AC"/>
    <w:rsid w:val="00660FDB"/>
    <w:rsid w:val="006611DD"/>
    <w:rsid w:val="00661E4D"/>
    <w:rsid w:val="00662000"/>
    <w:rsid w:val="00662BB1"/>
    <w:rsid w:val="0066340C"/>
    <w:rsid w:val="006637E4"/>
    <w:rsid w:val="00663889"/>
    <w:rsid w:val="006642C6"/>
    <w:rsid w:val="00664CB3"/>
    <w:rsid w:val="00664CDF"/>
    <w:rsid w:val="00665945"/>
    <w:rsid w:val="006659E8"/>
    <w:rsid w:val="00665A64"/>
    <w:rsid w:val="00665CF9"/>
    <w:rsid w:val="00665F59"/>
    <w:rsid w:val="00666869"/>
    <w:rsid w:val="00666C06"/>
    <w:rsid w:val="00667079"/>
    <w:rsid w:val="00667517"/>
    <w:rsid w:val="00667737"/>
    <w:rsid w:val="006678D3"/>
    <w:rsid w:val="00670002"/>
    <w:rsid w:val="00670374"/>
    <w:rsid w:val="00670AE6"/>
    <w:rsid w:val="006714D2"/>
    <w:rsid w:val="00671F80"/>
    <w:rsid w:val="0067204E"/>
    <w:rsid w:val="006721E5"/>
    <w:rsid w:val="00672D66"/>
    <w:rsid w:val="00673028"/>
    <w:rsid w:val="00673E3F"/>
    <w:rsid w:val="00673E4B"/>
    <w:rsid w:val="00674AD1"/>
    <w:rsid w:val="00674B9B"/>
    <w:rsid w:val="00674C25"/>
    <w:rsid w:val="00675AD6"/>
    <w:rsid w:val="00675F73"/>
    <w:rsid w:val="0067658D"/>
    <w:rsid w:val="006769A1"/>
    <w:rsid w:val="006769D7"/>
    <w:rsid w:val="00676A4B"/>
    <w:rsid w:val="00677C7E"/>
    <w:rsid w:val="0068020C"/>
    <w:rsid w:val="00680C02"/>
    <w:rsid w:val="00680DBC"/>
    <w:rsid w:val="0068207F"/>
    <w:rsid w:val="006823DB"/>
    <w:rsid w:val="00682643"/>
    <w:rsid w:val="006828A3"/>
    <w:rsid w:val="00683536"/>
    <w:rsid w:val="00683E14"/>
    <w:rsid w:val="00684132"/>
    <w:rsid w:val="00684548"/>
    <w:rsid w:val="00684644"/>
    <w:rsid w:val="006847C8"/>
    <w:rsid w:val="0068575F"/>
    <w:rsid w:val="00685897"/>
    <w:rsid w:val="00685A8B"/>
    <w:rsid w:val="006862BF"/>
    <w:rsid w:val="006862ED"/>
    <w:rsid w:val="00686444"/>
    <w:rsid w:val="00686529"/>
    <w:rsid w:val="0068679D"/>
    <w:rsid w:val="006868FC"/>
    <w:rsid w:val="00686956"/>
    <w:rsid w:val="00686B90"/>
    <w:rsid w:val="006875F9"/>
    <w:rsid w:val="006877C2"/>
    <w:rsid w:val="00687818"/>
    <w:rsid w:val="00690B5E"/>
    <w:rsid w:val="00690DBC"/>
    <w:rsid w:val="00690F4F"/>
    <w:rsid w:val="006918A6"/>
    <w:rsid w:val="006927F6"/>
    <w:rsid w:val="00692845"/>
    <w:rsid w:val="006928E7"/>
    <w:rsid w:val="00692B21"/>
    <w:rsid w:val="00693A9A"/>
    <w:rsid w:val="00694802"/>
    <w:rsid w:val="006951E3"/>
    <w:rsid w:val="006959BD"/>
    <w:rsid w:val="00695C49"/>
    <w:rsid w:val="006961D4"/>
    <w:rsid w:val="00696B0C"/>
    <w:rsid w:val="00696B80"/>
    <w:rsid w:val="00696CBE"/>
    <w:rsid w:val="00697006"/>
    <w:rsid w:val="006979AF"/>
    <w:rsid w:val="006A112F"/>
    <w:rsid w:val="006A179C"/>
    <w:rsid w:val="006A17C4"/>
    <w:rsid w:val="006A1844"/>
    <w:rsid w:val="006A188D"/>
    <w:rsid w:val="006A2110"/>
    <w:rsid w:val="006A21E4"/>
    <w:rsid w:val="006A2379"/>
    <w:rsid w:val="006A2514"/>
    <w:rsid w:val="006A2837"/>
    <w:rsid w:val="006A301B"/>
    <w:rsid w:val="006A3352"/>
    <w:rsid w:val="006A371E"/>
    <w:rsid w:val="006A3874"/>
    <w:rsid w:val="006A3B78"/>
    <w:rsid w:val="006A3B7D"/>
    <w:rsid w:val="006A46F5"/>
    <w:rsid w:val="006A4A19"/>
    <w:rsid w:val="006A4B97"/>
    <w:rsid w:val="006A6397"/>
    <w:rsid w:val="006A6BA8"/>
    <w:rsid w:val="006A7419"/>
    <w:rsid w:val="006A760A"/>
    <w:rsid w:val="006B063C"/>
    <w:rsid w:val="006B0E0A"/>
    <w:rsid w:val="006B10F5"/>
    <w:rsid w:val="006B18D3"/>
    <w:rsid w:val="006B2987"/>
    <w:rsid w:val="006B29F2"/>
    <w:rsid w:val="006B2B5D"/>
    <w:rsid w:val="006B2E71"/>
    <w:rsid w:val="006B3E65"/>
    <w:rsid w:val="006B451A"/>
    <w:rsid w:val="006B45BD"/>
    <w:rsid w:val="006B4B38"/>
    <w:rsid w:val="006B50C6"/>
    <w:rsid w:val="006B555A"/>
    <w:rsid w:val="006B67AF"/>
    <w:rsid w:val="006B68BF"/>
    <w:rsid w:val="006B6DBE"/>
    <w:rsid w:val="006B70B9"/>
    <w:rsid w:val="006B76A7"/>
    <w:rsid w:val="006B7870"/>
    <w:rsid w:val="006B7A37"/>
    <w:rsid w:val="006B7C37"/>
    <w:rsid w:val="006B7EF9"/>
    <w:rsid w:val="006B7F43"/>
    <w:rsid w:val="006C0183"/>
    <w:rsid w:val="006C045D"/>
    <w:rsid w:val="006C122B"/>
    <w:rsid w:val="006C1D69"/>
    <w:rsid w:val="006C1D8A"/>
    <w:rsid w:val="006C2789"/>
    <w:rsid w:val="006C2FC8"/>
    <w:rsid w:val="006C3268"/>
    <w:rsid w:val="006C3312"/>
    <w:rsid w:val="006C355C"/>
    <w:rsid w:val="006C394A"/>
    <w:rsid w:val="006C3BB0"/>
    <w:rsid w:val="006C3BE2"/>
    <w:rsid w:val="006C42C2"/>
    <w:rsid w:val="006C4617"/>
    <w:rsid w:val="006C48DD"/>
    <w:rsid w:val="006C4D21"/>
    <w:rsid w:val="006C4FEA"/>
    <w:rsid w:val="006C56CA"/>
    <w:rsid w:val="006C57E0"/>
    <w:rsid w:val="006C5E47"/>
    <w:rsid w:val="006C6995"/>
    <w:rsid w:val="006C6ACB"/>
    <w:rsid w:val="006C6D1A"/>
    <w:rsid w:val="006C6F05"/>
    <w:rsid w:val="006C716F"/>
    <w:rsid w:val="006C7636"/>
    <w:rsid w:val="006C7B93"/>
    <w:rsid w:val="006D00BA"/>
    <w:rsid w:val="006D021B"/>
    <w:rsid w:val="006D0274"/>
    <w:rsid w:val="006D0697"/>
    <w:rsid w:val="006D18FB"/>
    <w:rsid w:val="006D223C"/>
    <w:rsid w:val="006D29DC"/>
    <w:rsid w:val="006D3D46"/>
    <w:rsid w:val="006D4191"/>
    <w:rsid w:val="006D41B1"/>
    <w:rsid w:val="006D422C"/>
    <w:rsid w:val="006D42AC"/>
    <w:rsid w:val="006D4A2E"/>
    <w:rsid w:val="006D5029"/>
    <w:rsid w:val="006D50AC"/>
    <w:rsid w:val="006D51CD"/>
    <w:rsid w:val="006D525B"/>
    <w:rsid w:val="006D582C"/>
    <w:rsid w:val="006D5864"/>
    <w:rsid w:val="006D5C82"/>
    <w:rsid w:val="006D5DED"/>
    <w:rsid w:val="006D600E"/>
    <w:rsid w:val="006D6215"/>
    <w:rsid w:val="006D67D0"/>
    <w:rsid w:val="006D6D93"/>
    <w:rsid w:val="006D72EB"/>
    <w:rsid w:val="006D73B7"/>
    <w:rsid w:val="006D7819"/>
    <w:rsid w:val="006D7879"/>
    <w:rsid w:val="006D7B97"/>
    <w:rsid w:val="006D7FDE"/>
    <w:rsid w:val="006E0438"/>
    <w:rsid w:val="006E05B9"/>
    <w:rsid w:val="006E07E6"/>
    <w:rsid w:val="006E0803"/>
    <w:rsid w:val="006E1107"/>
    <w:rsid w:val="006E131C"/>
    <w:rsid w:val="006E1362"/>
    <w:rsid w:val="006E2502"/>
    <w:rsid w:val="006E2812"/>
    <w:rsid w:val="006E2A8C"/>
    <w:rsid w:val="006E335F"/>
    <w:rsid w:val="006E336F"/>
    <w:rsid w:val="006E33E3"/>
    <w:rsid w:val="006E37D2"/>
    <w:rsid w:val="006E3806"/>
    <w:rsid w:val="006E39F7"/>
    <w:rsid w:val="006E4398"/>
    <w:rsid w:val="006E4669"/>
    <w:rsid w:val="006E4B70"/>
    <w:rsid w:val="006E4F12"/>
    <w:rsid w:val="006E5583"/>
    <w:rsid w:val="006E5C89"/>
    <w:rsid w:val="006E5CFA"/>
    <w:rsid w:val="006E5E6E"/>
    <w:rsid w:val="006E631F"/>
    <w:rsid w:val="006E6A07"/>
    <w:rsid w:val="006E6F6C"/>
    <w:rsid w:val="006E7369"/>
    <w:rsid w:val="006E788F"/>
    <w:rsid w:val="006E7A91"/>
    <w:rsid w:val="006E7E42"/>
    <w:rsid w:val="006F0511"/>
    <w:rsid w:val="006F058F"/>
    <w:rsid w:val="006F283F"/>
    <w:rsid w:val="006F2C01"/>
    <w:rsid w:val="006F2FA8"/>
    <w:rsid w:val="006F3289"/>
    <w:rsid w:val="006F34D7"/>
    <w:rsid w:val="006F39E0"/>
    <w:rsid w:val="006F3DC7"/>
    <w:rsid w:val="006F3EB8"/>
    <w:rsid w:val="006F4312"/>
    <w:rsid w:val="006F46D1"/>
    <w:rsid w:val="006F4706"/>
    <w:rsid w:val="006F4D58"/>
    <w:rsid w:val="006F4E06"/>
    <w:rsid w:val="006F58BF"/>
    <w:rsid w:val="006F5D45"/>
    <w:rsid w:val="006F61C8"/>
    <w:rsid w:val="006F6644"/>
    <w:rsid w:val="006F674F"/>
    <w:rsid w:val="006F69C9"/>
    <w:rsid w:val="006F6F8C"/>
    <w:rsid w:val="006F70E7"/>
    <w:rsid w:val="007007B3"/>
    <w:rsid w:val="007008D3"/>
    <w:rsid w:val="0070096C"/>
    <w:rsid w:val="007009DB"/>
    <w:rsid w:val="007011F3"/>
    <w:rsid w:val="00701A4F"/>
    <w:rsid w:val="00702308"/>
    <w:rsid w:val="007023CC"/>
    <w:rsid w:val="007025CD"/>
    <w:rsid w:val="007029E1"/>
    <w:rsid w:val="00703077"/>
    <w:rsid w:val="00703168"/>
    <w:rsid w:val="00703260"/>
    <w:rsid w:val="00703498"/>
    <w:rsid w:val="00703C16"/>
    <w:rsid w:val="0070413C"/>
    <w:rsid w:val="0070437A"/>
    <w:rsid w:val="00704556"/>
    <w:rsid w:val="00704D37"/>
    <w:rsid w:val="00705B5B"/>
    <w:rsid w:val="00705DE8"/>
    <w:rsid w:val="00705DEB"/>
    <w:rsid w:val="007063E6"/>
    <w:rsid w:val="00706413"/>
    <w:rsid w:val="007067A6"/>
    <w:rsid w:val="00706CD3"/>
    <w:rsid w:val="00706E8D"/>
    <w:rsid w:val="00707064"/>
    <w:rsid w:val="0070748A"/>
    <w:rsid w:val="007074CD"/>
    <w:rsid w:val="0070763D"/>
    <w:rsid w:val="00707AF5"/>
    <w:rsid w:val="00707FB4"/>
    <w:rsid w:val="007101DB"/>
    <w:rsid w:val="007108D8"/>
    <w:rsid w:val="00712745"/>
    <w:rsid w:val="00713B7F"/>
    <w:rsid w:val="00713EE0"/>
    <w:rsid w:val="0071449C"/>
    <w:rsid w:val="007146F4"/>
    <w:rsid w:val="0071484A"/>
    <w:rsid w:val="00714C5B"/>
    <w:rsid w:val="00714CE2"/>
    <w:rsid w:val="00715AF6"/>
    <w:rsid w:val="00715E64"/>
    <w:rsid w:val="00716031"/>
    <w:rsid w:val="00716C98"/>
    <w:rsid w:val="00716D5A"/>
    <w:rsid w:val="00717164"/>
    <w:rsid w:val="00717271"/>
    <w:rsid w:val="007172D3"/>
    <w:rsid w:val="00720010"/>
    <w:rsid w:val="007205FA"/>
    <w:rsid w:val="007206AC"/>
    <w:rsid w:val="0072074D"/>
    <w:rsid w:val="00720BE6"/>
    <w:rsid w:val="00721037"/>
    <w:rsid w:val="0072103F"/>
    <w:rsid w:val="00722533"/>
    <w:rsid w:val="00722680"/>
    <w:rsid w:val="00722808"/>
    <w:rsid w:val="00722BDF"/>
    <w:rsid w:val="0072402F"/>
    <w:rsid w:val="007252E9"/>
    <w:rsid w:val="007258A9"/>
    <w:rsid w:val="0072674B"/>
    <w:rsid w:val="007269FD"/>
    <w:rsid w:val="00727AED"/>
    <w:rsid w:val="007300E9"/>
    <w:rsid w:val="007303E7"/>
    <w:rsid w:val="00730B25"/>
    <w:rsid w:val="00731D05"/>
    <w:rsid w:val="00731E97"/>
    <w:rsid w:val="00732885"/>
    <w:rsid w:val="00732D21"/>
    <w:rsid w:val="00733020"/>
    <w:rsid w:val="007333B9"/>
    <w:rsid w:val="00733C79"/>
    <w:rsid w:val="00733CA0"/>
    <w:rsid w:val="00734336"/>
    <w:rsid w:val="00734589"/>
    <w:rsid w:val="007348F0"/>
    <w:rsid w:val="00735830"/>
    <w:rsid w:val="007362E1"/>
    <w:rsid w:val="00736571"/>
    <w:rsid w:val="0073667D"/>
    <w:rsid w:val="00736AFC"/>
    <w:rsid w:val="007375C0"/>
    <w:rsid w:val="00737F75"/>
    <w:rsid w:val="00737F89"/>
    <w:rsid w:val="0074052C"/>
    <w:rsid w:val="007405BD"/>
    <w:rsid w:val="007406A7"/>
    <w:rsid w:val="00740975"/>
    <w:rsid w:val="00740A07"/>
    <w:rsid w:val="00740A71"/>
    <w:rsid w:val="00740B6D"/>
    <w:rsid w:val="00741306"/>
    <w:rsid w:val="0074131B"/>
    <w:rsid w:val="007413C6"/>
    <w:rsid w:val="0074140C"/>
    <w:rsid w:val="00741AC3"/>
    <w:rsid w:val="00741E05"/>
    <w:rsid w:val="00741F3B"/>
    <w:rsid w:val="00742020"/>
    <w:rsid w:val="0074254A"/>
    <w:rsid w:val="007428C2"/>
    <w:rsid w:val="00742A6E"/>
    <w:rsid w:val="00742AA0"/>
    <w:rsid w:val="007431E6"/>
    <w:rsid w:val="0074333A"/>
    <w:rsid w:val="00743730"/>
    <w:rsid w:val="007437FB"/>
    <w:rsid w:val="007439CD"/>
    <w:rsid w:val="00744009"/>
    <w:rsid w:val="00744924"/>
    <w:rsid w:val="00744CEF"/>
    <w:rsid w:val="00745561"/>
    <w:rsid w:val="0074562E"/>
    <w:rsid w:val="00745795"/>
    <w:rsid w:val="00745953"/>
    <w:rsid w:val="00745B2E"/>
    <w:rsid w:val="00745D57"/>
    <w:rsid w:val="00746105"/>
    <w:rsid w:val="00746309"/>
    <w:rsid w:val="00746638"/>
    <w:rsid w:val="00746755"/>
    <w:rsid w:val="00746C7A"/>
    <w:rsid w:val="007470D4"/>
    <w:rsid w:val="007478DA"/>
    <w:rsid w:val="00747BBE"/>
    <w:rsid w:val="00747BFA"/>
    <w:rsid w:val="0075023E"/>
    <w:rsid w:val="0075037C"/>
    <w:rsid w:val="00750693"/>
    <w:rsid w:val="007508D9"/>
    <w:rsid w:val="007508FB"/>
    <w:rsid w:val="00750E46"/>
    <w:rsid w:val="00751F5F"/>
    <w:rsid w:val="007524CA"/>
    <w:rsid w:val="007526A6"/>
    <w:rsid w:val="007527FE"/>
    <w:rsid w:val="00752C72"/>
    <w:rsid w:val="00753725"/>
    <w:rsid w:val="00753F04"/>
    <w:rsid w:val="00754384"/>
    <w:rsid w:val="00754953"/>
    <w:rsid w:val="00754E46"/>
    <w:rsid w:val="007552E6"/>
    <w:rsid w:val="007555CC"/>
    <w:rsid w:val="00755781"/>
    <w:rsid w:val="00755BCF"/>
    <w:rsid w:val="00755C50"/>
    <w:rsid w:val="00755F86"/>
    <w:rsid w:val="007569F2"/>
    <w:rsid w:val="00756F0A"/>
    <w:rsid w:val="00757048"/>
    <w:rsid w:val="00757180"/>
    <w:rsid w:val="00757AE8"/>
    <w:rsid w:val="00760100"/>
    <w:rsid w:val="007604DA"/>
    <w:rsid w:val="0076072B"/>
    <w:rsid w:val="007609DC"/>
    <w:rsid w:val="00760C6D"/>
    <w:rsid w:val="00761927"/>
    <w:rsid w:val="00761BF2"/>
    <w:rsid w:val="00761DD4"/>
    <w:rsid w:val="007621A5"/>
    <w:rsid w:val="007622A2"/>
    <w:rsid w:val="007626A4"/>
    <w:rsid w:val="007630D0"/>
    <w:rsid w:val="00763240"/>
    <w:rsid w:val="007634FC"/>
    <w:rsid w:val="00763792"/>
    <w:rsid w:val="007637A3"/>
    <w:rsid w:val="00763C29"/>
    <w:rsid w:val="00763CA8"/>
    <w:rsid w:val="007641F0"/>
    <w:rsid w:val="0076477A"/>
    <w:rsid w:val="00764BC6"/>
    <w:rsid w:val="00764D2E"/>
    <w:rsid w:val="007654D7"/>
    <w:rsid w:val="00765A58"/>
    <w:rsid w:val="00765ECC"/>
    <w:rsid w:val="007662EE"/>
    <w:rsid w:val="00766AFE"/>
    <w:rsid w:val="007674DC"/>
    <w:rsid w:val="00767A04"/>
    <w:rsid w:val="00767F17"/>
    <w:rsid w:val="00767F72"/>
    <w:rsid w:val="00770BE7"/>
    <w:rsid w:val="00771281"/>
    <w:rsid w:val="0077147F"/>
    <w:rsid w:val="00771B7D"/>
    <w:rsid w:val="007726C3"/>
    <w:rsid w:val="007726F1"/>
    <w:rsid w:val="00773D1B"/>
    <w:rsid w:val="00773DC1"/>
    <w:rsid w:val="00774348"/>
    <w:rsid w:val="007743DA"/>
    <w:rsid w:val="00774E49"/>
    <w:rsid w:val="00774E81"/>
    <w:rsid w:val="007758A5"/>
    <w:rsid w:val="00775E65"/>
    <w:rsid w:val="00776181"/>
    <w:rsid w:val="00776CE0"/>
    <w:rsid w:val="00777024"/>
    <w:rsid w:val="00777138"/>
    <w:rsid w:val="00777438"/>
    <w:rsid w:val="007777BB"/>
    <w:rsid w:val="00777DA3"/>
    <w:rsid w:val="00777E43"/>
    <w:rsid w:val="00777FE9"/>
    <w:rsid w:val="007807CA"/>
    <w:rsid w:val="00780EC7"/>
    <w:rsid w:val="0078140F"/>
    <w:rsid w:val="00781EBA"/>
    <w:rsid w:val="00781F0F"/>
    <w:rsid w:val="007821AC"/>
    <w:rsid w:val="00782D19"/>
    <w:rsid w:val="00782DC1"/>
    <w:rsid w:val="0078348E"/>
    <w:rsid w:val="007835D9"/>
    <w:rsid w:val="00783623"/>
    <w:rsid w:val="00783F3D"/>
    <w:rsid w:val="00784ADC"/>
    <w:rsid w:val="00785AFA"/>
    <w:rsid w:val="00785B0B"/>
    <w:rsid w:val="00785E39"/>
    <w:rsid w:val="00786083"/>
    <w:rsid w:val="00786266"/>
    <w:rsid w:val="00786913"/>
    <w:rsid w:val="00786953"/>
    <w:rsid w:val="007869A3"/>
    <w:rsid w:val="00787F9D"/>
    <w:rsid w:val="00787FC4"/>
    <w:rsid w:val="00790132"/>
    <w:rsid w:val="00790BDC"/>
    <w:rsid w:val="00791492"/>
    <w:rsid w:val="00791AD4"/>
    <w:rsid w:val="00791D55"/>
    <w:rsid w:val="00792079"/>
    <w:rsid w:val="00792237"/>
    <w:rsid w:val="0079278A"/>
    <w:rsid w:val="0079298F"/>
    <w:rsid w:val="00792B2F"/>
    <w:rsid w:val="007930C1"/>
    <w:rsid w:val="007931DE"/>
    <w:rsid w:val="007933C5"/>
    <w:rsid w:val="00793711"/>
    <w:rsid w:val="0079388F"/>
    <w:rsid w:val="00793D27"/>
    <w:rsid w:val="00795516"/>
    <w:rsid w:val="00795731"/>
    <w:rsid w:val="00795751"/>
    <w:rsid w:val="00795C8E"/>
    <w:rsid w:val="00796375"/>
    <w:rsid w:val="007963E4"/>
    <w:rsid w:val="00796FCC"/>
    <w:rsid w:val="00797AFC"/>
    <w:rsid w:val="00797FE4"/>
    <w:rsid w:val="007A004B"/>
    <w:rsid w:val="007A010F"/>
    <w:rsid w:val="007A0133"/>
    <w:rsid w:val="007A0238"/>
    <w:rsid w:val="007A0894"/>
    <w:rsid w:val="007A0F79"/>
    <w:rsid w:val="007A1C4E"/>
    <w:rsid w:val="007A1CBB"/>
    <w:rsid w:val="007A1DCE"/>
    <w:rsid w:val="007A21CF"/>
    <w:rsid w:val="007A2C37"/>
    <w:rsid w:val="007A322A"/>
    <w:rsid w:val="007A4586"/>
    <w:rsid w:val="007A4986"/>
    <w:rsid w:val="007A4C07"/>
    <w:rsid w:val="007A525C"/>
    <w:rsid w:val="007A55B9"/>
    <w:rsid w:val="007A5DBF"/>
    <w:rsid w:val="007A67C7"/>
    <w:rsid w:val="007A6B35"/>
    <w:rsid w:val="007A6B57"/>
    <w:rsid w:val="007A73BC"/>
    <w:rsid w:val="007A799C"/>
    <w:rsid w:val="007A7A4F"/>
    <w:rsid w:val="007B0017"/>
    <w:rsid w:val="007B045B"/>
    <w:rsid w:val="007B07AB"/>
    <w:rsid w:val="007B0EC7"/>
    <w:rsid w:val="007B0F3F"/>
    <w:rsid w:val="007B163C"/>
    <w:rsid w:val="007B17DE"/>
    <w:rsid w:val="007B1B55"/>
    <w:rsid w:val="007B1D59"/>
    <w:rsid w:val="007B1F43"/>
    <w:rsid w:val="007B2485"/>
    <w:rsid w:val="007B2946"/>
    <w:rsid w:val="007B30CD"/>
    <w:rsid w:val="007B31D5"/>
    <w:rsid w:val="007B3D0C"/>
    <w:rsid w:val="007B3ED0"/>
    <w:rsid w:val="007B43E0"/>
    <w:rsid w:val="007B47D5"/>
    <w:rsid w:val="007B4C35"/>
    <w:rsid w:val="007B4C42"/>
    <w:rsid w:val="007B4DA9"/>
    <w:rsid w:val="007B5222"/>
    <w:rsid w:val="007B544F"/>
    <w:rsid w:val="007B54A6"/>
    <w:rsid w:val="007B745D"/>
    <w:rsid w:val="007B759D"/>
    <w:rsid w:val="007C05B2"/>
    <w:rsid w:val="007C0857"/>
    <w:rsid w:val="007C0E38"/>
    <w:rsid w:val="007C0EC4"/>
    <w:rsid w:val="007C23A2"/>
    <w:rsid w:val="007C23D3"/>
    <w:rsid w:val="007C254C"/>
    <w:rsid w:val="007C274D"/>
    <w:rsid w:val="007C27FB"/>
    <w:rsid w:val="007C2ACC"/>
    <w:rsid w:val="007C2EAC"/>
    <w:rsid w:val="007C2EE8"/>
    <w:rsid w:val="007C3283"/>
    <w:rsid w:val="007C3FC3"/>
    <w:rsid w:val="007C4871"/>
    <w:rsid w:val="007C55F2"/>
    <w:rsid w:val="007C55FE"/>
    <w:rsid w:val="007C5A8C"/>
    <w:rsid w:val="007C5DA4"/>
    <w:rsid w:val="007C5FA4"/>
    <w:rsid w:val="007C622A"/>
    <w:rsid w:val="007C67CF"/>
    <w:rsid w:val="007C69DB"/>
    <w:rsid w:val="007C6C8A"/>
    <w:rsid w:val="007C71A3"/>
    <w:rsid w:val="007D00A7"/>
    <w:rsid w:val="007D0A6F"/>
    <w:rsid w:val="007D0E37"/>
    <w:rsid w:val="007D1380"/>
    <w:rsid w:val="007D1F71"/>
    <w:rsid w:val="007D21BE"/>
    <w:rsid w:val="007D2425"/>
    <w:rsid w:val="007D2C54"/>
    <w:rsid w:val="007D3111"/>
    <w:rsid w:val="007D3FD5"/>
    <w:rsid w:val="007D41CC"/>
    <w:rsid w:val="007D47AA"/>
    <w:rsid w:val="007D4D89"/>
    <w:rsid w:val="007D4DCB"/>
    <w:rsid w:val="007D5091"/>
    <w:rsid w:val="007D5310"/>
    <w:rsid w:val="007D5596"/>
    <w:rsid w:val="007D5ADA"/>
    <w:rsid w:val="007D5B0F"/>
    <w:rsid w:val="007D65D7"/>
    <w:rsid w:val="007D6708"/>
    <w:rsid w:val="007D7866"/>
    <w:rsid w:val="007E09AA"/>
    <w:rsid w:val="007E0B4E"/>
    <w:rsid w:val="007E10B9"/>
    <w:rsid w:val="007E180E"/>
    <w:rsid w:val="007E1D5B"/>
    <w:rsid w:val="007E20DD"/>
    <w:rsid w:val="007E2BC8"/>
    <w:rsid w:val="007E2C27"/>
    <w:rsid w:val="007E2F13"/>
    <w:rsid w:val="007E3D7A"/>
    <w:rsid w:val="007E41DB"/>
    <w:rsid w:val="007E52B7"/>
    <w:rsid w:val="007E5622"/>
    <w:rsid w:val="007E58EF"/>
    <w:rsid w:val="007E5D8C"/>
    <w:rsid w:val="007E6970"/>
    <w:rsid w:val="007E6F97"/>
    <w:rsid w:val="007E7025"/>
    <w:rsid w:val="007E74D1"/>
    <w:rsid w:val="007E7E92"/>
    <w:rsid w:val="007F01AB"/>
    <w:rsid w:val="007F051E"/>
    <w:rsid w:val="007F0E4A"/>
    <w:rsid w:val="007F1150"/>
    <w:rsid w:val="007F1E32"/>
    <w:rsid w:val="007F3242"/>
    <w:rsid w:val="007F356E"/>
    <w:rsid w:val="007F3D81"/>
    <w:rsid w:val="007F4CF5"/>
    <w:rsid w:val="007F54CA"/>
    <w:rsid w:val="007F5B81"/>
    <w:rsid w:val="007F5CA7"/>
    <w:rsid w:val="007F5F35"/>
    <w:rsid w:val="007F6015"/>
    <w:rsid w:val="007F680A"/>
    <w:rsid w:val="007F6810"/>
    <w:rsid w:val="007F6987"/>
    <w:rsid w:val="007F6E4D"/>
    <w:rsid w:val="007F744B"/>
    <w:rsid w:val="00800671"/>
    <w:rsid w:val="0080134E"/>
    <w:rsid w:val="008022D8"/>
    <w:rsid w:val="0080267E"/>
    <w:rsid w:val="0080352E"/>
    <w:rsid w:val="00803D21"/>
    <w:rsid w:val="008040BC"/>
    <w:rsid w:val="008041D8"/>
    <w:rsid w:val="00804451"/>
    <w:rsid w:val="00804669"/>
    <w:rsid w:val="00804C5D"/>
    <w:rsid w:val="0080547F"/>
    <w:rsid w:val="008055E0"/>
    <w:rsid w:val="00805A5A"/>
    <w:rsid w:val="00805CE2"/>
    <w:rsid w:val="00806636"/>
    <w:rsid w:val="00806684"/>
    <w:rsid w:val="00807387"/>
    <w:rsid w:val="00807892"/>
    <w:rsid w:val="0081054B"/>
    <w:rsid w:val="00810B5C"/>
    <w:rsid w:val="00810DB6"/>
    <w:rsid w:val="00810F69"/>
    <w:rsid w:val="00811180"/>
    <w:rsid w:val="00811328"/>
    <w:rsid w:val="008116D0"/>
    <w:rsid w:val="00811B91"/>
    <w:rsid w:val="00812815"/>
    <w:rsid w:val="00812CA1"/>
    <w:rsid w:val="00812E0C"/>
    <w:rsid w:val="00812E90"/>
    <w:rsid w:val="00812EAB"/>
    <w:rsid w:val="00813779"/>
    <w:rsid w:val="00813EEB"/>
    <w:rsid w:val="008141F9"/>
    <w:rsid w:val="008143ED"/>
    <w:rsid w:val="00814FBE"/>
    <w:rsid w:val="00815276"/>
    <w:rsid w:val="00815725"/>
    <w:rsid w:val="00816356"/>
    <w:rsid w:val="00816876"/>
    <w:rsid w:val="00816C6E"/>
    <w:rsid w:val="008201D0"/>
    <w:rsid w:val="00820433"/>
    <w:rsid w:val="00820B53"/>
    <w:rsid w:val="0082158E"/>
    <w:rsid w:val="008216B5"/>
    <w:rsid w:val="0082315F"/>
    <w:rsid w:val="00823F3F"/>
    <w:rsid w:val="008246F5"/>
    <w:rsid w:val="0082476A"/>
    <w:rsid w:val="0082476C"/>
    <w:rsid w:val="0082504A"/>
    <w:rsid w:val="00825317"/>
    <w:rsid w:val="00825387"/>
    <w:rsid w:val="008253B1"/>
    <w:rsid w:val="0082573E"/>
    <w:rsid w:val="008258F0"/>
    <w:rsid w:val="00825C6D"/>
    <w:rsid w:val="00825E91"/>
    <w:rsid w:val="008262D7"/>
    <w:rsid w:val="0082645E"/>
    <w:rsid w:val="00826614"/>
    <w:rsid w:val="008270BC"/>
    <w:rsid w:val="0082793B"/>
    <w:rsid w:val="00827DE1"/>
    <w:rsid w:val="008305D8"/>
    <w:rsid w:val="00830604"/>
    <w:rsid w:val="00830CCF"/>
    <w:rsid w:val="00830EB6"/>
    <w:rsid w:val="0083101E"/>
    <w:rsid w:val="008318E8"/>
    <w:rsid w:val="00831D77"/>
    <w:rsid w:val="008334EE"/>
    <w:rsid w:val="008335C2"/>
    <w:rsid w:val="008335D0"/>
    <w:rsid w:val="00833CA8"/>
    <w:rsid w:val="00834289"/>
    <w:rsid w:val="00834AB1"/>
    <w:rsid w:val="00834B1A"/>
    <w:rsid w:val="008350F8"/>
    <w:rsid w:val="0083532D"/>
    <w:rsid w:val="0083533F"/>
    <w:rsid w:val="00835702"/>
    <w:rsid w:val="0083598A"/>
    <w:rsid w:val="00835A61"/>
    <w:rsid w:val="008361BA"/>
    <w:rsid w:val="00836909"/>
    <w:rsid w:val="00836E51"/>
    <w:rsid w:val="008372C3"/>
    <w:rsid w:val="008374AC"/>
    <w:rsid w:val="00837668"/>
    <w:rsid w:val="008377BA"/>
    <w:rsid w:val="00837C2A"/>
    <w:rsid w:val="0084009C"/>
    <w:rsid w:val="008403D8"/>
    <w:rsid w:val="00840EE2"/>
    <w:rsid w:val="0084151D"/>
    <w:rsid w:val="008418DE"/>
    <w:rsid w:val="00841C88"/>
    <w:rsid w:val="0084251F"/>
    <w:rsid w:val="00842C07"/>
    <w:rsid w:val="00842D5E"/>
    <w:rsid w:val="00842D67"/>
    <w:rsid w:val="00843483"/>
    <w:rsid w:val="00843545"/>
    <w:rsid w:val="00843892"/>
    <w:rsid w:val="0084398E"/>
    <w:rsid w:val="00843C2B"/>
    <w:rsid w:val="00843F38"/>
    <w:rsid w:val="0084400F"/>
    <w:rsid w:val="00844A73"/>
    <w:rsid w:val="00844A7F"/>
    <w:rsid w:val="0084508A"/>
    <w:rsid w:val="008456C6"/>
    <w:rsid w:val="008459BF"/>
    <w:rsid w:val="00845DAC"/>
    <w:rsid w:val="0084633C"/>
    <w:rsid w:val="0084668D"/>
    <w:rsid w:val="00846EAA"/>
    <w:rsid w:val="00847013"/>
    <w:rsid w:val="00847431"/>
    <w:rsid w:val="00847E14"/>
    <w:rsid w:val="00847F3A"/>
    <w:rsid w:val="00850000"/>
    <w:rsid w:val="00850297"/>
    <w:rsid w:val="008502F6"/>
    <w:rsid w:val="00850459"/>
    <w:rsid w:val="00851B42"/>
    <w:rsid w:val="008522C5"/>
    <w:rsid w:val="008527EC"/>
    <w:rsid w:val="00852AE1"/>
    <w:rsid w:val="00852B8D"/>
    <w:rsid w:val="00853153"/>
    <w:rsid w:val="0085363F"/>
    <w:rsid w:val="00853785"/>
    <w:rsid w:val="00854279"/>
    <w:rsid w:val="00854844"/>
    <w:rsid w:val="00854BFB"/>
    <w:rsid w:val="00854C6C"/>
    <w:rsid w:val="00854DC1"/>
    <w:rsid w:val="00855124"/>
    <w:rsid w:val="008553D1"/>
    <w:rsid w:val="00855414"/>
    <w:rsid w:val="008556B7"/>
    <w:rsid w:val="008556C5"/>
    <w:rsid w:val="00855732"/>
    <w:rsid w:val="00855786"/>
    <w:rsid w:val="00855E0D"/>
    <w:rsid w:val="00855FB2"/>
    <w:rsid w:val="008564EC"/>
    <w:rsid w:val="008565F8"/>
    <w:rsid w:val="0085660A"/>
    <w:rsid w:val="008570EA"/>
    <w:rsid w:val="008575D7"/>
    <w:rsid w:val="00860104"/>
    <w:rsid w:val="0086060C"/>
    <w:rsid w:val="00861188"/>
    <w:rsid w:val="00861712"/>
    <w:rsid w:val="00861C32"/>
    <w:rsid w:val="00861F13"/>
    <w:rsid w:val="00862363"/>
    <w:rsid w:val="0086284F"/>
    <w:rsid w:val="00862C02"/>
    <w:rsid w:val="008632F4"/>
    <w:rsid w:val="00863931"/>
    <w:rsid w:val="00863E6F"/>
    <w:rsid w:val="00864AE3"/>
    <w:rsid w:val="0086552B"/>
    <w:rsid w:val="00865D05"/>
    <w:rsid w:val="008663AD"/>
    <w:rsid w:val="00866549"/>
    <w:rsid w:val="00866DE7"/>
    <w:rsid w:val="00866E6D"/>
    <w:rsid w:val="008677A2"/>
    <w:rsid w:val="008677C5"/>
    <w:rsid w:val="00870F50"/>
    <w:rsid w:val="00871373"/>
    <w:rsid w:val="00871DF4"/>
    <w:rsid w:val="0087203D"/>
    <w:rsid w:val="008733C6"/>
    <w:rsid w:val="008734F4"/>
    <w:rsid w:val="0087367A"/>
    <w:rsid w:val="00873B14"/>
    <w:rsid w:val="00873ED9"/>
    <w:rsid w:val="00874A40"/>
    <w:rsid w:val="00874B17"/>
    <w:rsid w:val="0087523E"/>
    <w:rsid w:val="0087613E"/>
    <w:rsid w:val="00876C76"/>
    <w:rsid w:val="00877203"/>
    <w:rsid w:val="00877A98"/>
    <w:rsid w:val="00877C64"/>
    <w:rsid w:val="008802C6"/>
    <w:rsid w:val="0088036A"/>
    <w:rsid w:val="0088038E"/>
    <w:rsid w:val="00880EB8"/>
    <w:rsid w:val="008812D5"/>
    <w:rsid w:val="0088131C"/>
    <w:rsid w:val="008816A1"/>
    <w:rsid w:val="00881959"/>
    <w:rsid w:val="008819EA"/>
    <w:rsid w:val="0088257F"/>
    <w:rsid w:val="0088270C"/>
    <w:rsid w:val="00882CEC"/>
    <w:rsid w:val="00883045"/>
    <w:rsid w:val="00883A5A"/>
    <w:rsid w:val="0088428D"/>
    <w:rsid w:val="00885355"/>
    <w:rsid w:val="00885533"/>
    <w:rsid w:val="008862B2"/>
    <w:rsid w:val="0088655D"/>
    <w:rsid w:val="00886841"/>
    <w:rsid w:val="00886EE7"/>
    <w:rsid w:val="0088799F"/>
    <w:rsid w:val="008879CC"/>
    <w:rsid w:val="00890134"/>
    <w:rsid w:val="008911BA"/>
    <w:rsid w:val="008913C3"/>
    <w:rsid w:val="00891538"/>
    <w:rsid w:val="00891E26"/>
    <w:rsid w:val="00892004"/>
    <w:rsid w:val="0089216E"/>
    <w:rsid w:val="00892862"/>
    <w:rsid w:val="0089294F"/>
    <w:rsid w:val="00892AE6"/>
    <w:rsid w:val="00893199"/>
    <w:rsid w:val="00893BE8"/>
    <w:rsid w:val="00893CB7"/>
    <w:rsid w:val="00893DE3"/>
    <w:rsid w:val="00893F63"/>
    <w:rsid w:val="00893F90"/>
    <w:rsid w:val="00894765"/>
    <w:rsid w:val="00895011"/>
    <w:rsid w:val="00895299"/>
    <w:rsid w:val="00895A8B"/>
    <w:rsid w:val="00895AC6"/>
    <w:rsid w:val="0089643E"/>
    <w:rsid w:val="00897067"/>
    <w:rsid w:val="008974F6"/>
    <w:rsid w:val="0089775E"/>
    <w:rsid w:val="008A0E37"/>
    <w:rsid w:val="008A0F48"/>
    <w:rsid w:val="008A1B40"/>
    <w:rsid w:val="008A1B71"/>
    <w:rsid w:val="008A1E00"/>
    <w:rsid w:val="008A3195"/>
    <w:rsid w:val="008A332E"/>
    <w:rsid w:val="008A3C4D"/>
    <w:rsid w:val="008A3DBA"/>
    <w:rsid w:val="008A3FFB"/>
    <w:rsid w:val="008A4072"/>
    <w:rsid w:val="008A4143"/>
    <w:rsid w:val="008A422F"/>
    <w:rsid w:val="008A4509"/>
    <w:rsid w:val="008A4F64"/>
    <w:rsid w:val="008A5AD9"/>
    <w:rsid w:val="008A60C5"/>
    <w:rsid w:val="008A62CD"/>
    <w:rsid w:val="008A701F"/>
    <w:rsid w:val="008A7318"/>
    <w:rsid w:val="008A76FB"/>
    <w:rsid w:val="008A7F4A"/>
    <w:rsid w:val="008B03AB"/>
    <w:rsid w:val="008B04A6"/>
    <w:rsid w:val="008B0CB9"/>
    <w:rsid w:val="008B0D6E"/>
    <w:rsid w:val="008B19BF"/>
    <w:rsid w:val="008B1DA0"/>
    <w:rsid w:val="008B208E"/>
    <w:rsid w:val="008B2369"/>
    <w:rsid w:val="008B27DA"/>
    <w:rsid w:val="008B3C7C"/>
    <w:rsid w:val="008B419A"/>
    <w:rsid w:val="008B4221"/>
    <w:rsid w:val="008B4804"/>
    <w:rsid w:val="008B4B18"/>
    <w:rsid w:val="008B534B"/>
    <w:rsid w:val="008B5B68"/>
    <w:rsid w:val="008B60FD"/>
    <w:rsid w:val="008B61CF"/>
    <w:rsid w:val="008B6C22"/>
    <w:rsid w:val="008B71A7"/>
    <w:rsid w:val="008B756F"/>
    <w:rsid w:val="008B78B8"/>
    <w:rsid w:val="008C059A"/>
    <w:rsid w:val="008C0FD4"/>
    <w:rsid w:val="008C1082"/>
    <w:rsid w:val="008C1732"/>
    <w:rsid w:val="008C17D2"/>
    <w:rsid w:val="008C195D"/>
    <w:rsid w:val="008C20F8"/>
    <w:rsid w:val="008C249D"/>
    <w:rsid w:val="008C2C2E"/>
    <w:rsid w:val="008C3021"/>
    <w:rsid w:val="008C33AB"/>
    <w:rsid w:val="008C3CE7"/>
    <w:rsid w:val="008C3CEC"/>
    <w:rsid w:val="008C410E"/>
    <w:rsid w:val="008C4701"/>
    <w:rsid w:val="008C4A79"/>
    <w:rsid w:val="008C4C74"/>
    <w:rsid w:val="008C50C8"/>
    <w:rsid w:val="008C568B"/>
    <w:rsid w:val="008C570D"/>
    <w:rsid w:val="008C59EE"/>
    <w:rsid w:val="008C5F8C"/>
    <w:rsid w:val="008C6183"/>
    <w:rsid w:val="008C6AB6"/>
    <w:rsid w:val="008C6E21"/>
    <w:rsid w:val="008C7042"/>
    <w:rsid w:val="008C7184"/>
    <w:rsid w:val="008C7462"/>
    <w:rsid w:val="008C74E2"/>
    <w:rsid w:val="008C7CBE"/>
    <w:rsid w:val="008C7D9A"/>
    <w:rsid w:val="008D0E53"/>
    <w:rsid w:val="008D0F32"/>
    <w:rsid w:val="008D12D9"/>
    <w:rsid w:val="008D1702"/>
    <w:rsid w:val="008D1705"/>
    <w:rsid w:val="008D18B5"/>
    <w:rsid w:val="008D1CD4"/>
    <w:rsid w:val="008D2A28"/>
    <w:rsid w:val="008D39C8"/>
    <w:rsid w:val="008D3A5C"/>
    <w:rsid w:val="008D4582"/>
    <w:rsid w:val="008D4F47"/>
    <w:rsid w:val="008D5D4D"/>
    <w:rsid w:val="008D5DA7"/>
    <w:rsid w:val="008D5DD0"/>
    <w:rsid w:val="008D6451"/>
    <w:rsid w:val="008D65B8"/>
    <w:rsid w:val="008D683B"/>
    <w:rsid w:val="008D6898"/>
    <w:rsid w:val="008D69E7"/>
    <w:rsid w:val="008D6CAD"/>
    <w:rsid w:val="008D7093"/>
    <w:rsid w:val="008D72BE"/>
    <w:rsid w:val="008D7A7E"/>
    <w:rsid w:val="008E00B8"/>
    <w:rsid w:val="008E06D7"/>
    <w:rsid w:val="008E0898"/>
    <w:rsid w:val="008E0AC7"/>
    <w:rsid w:val="008E100B"/>
    <w:rsid w:val="008E12CF"/>
    <w:rsid w:val="008E15EE"/>
    <w:rsid w:val="008E1D01"/>
    <w:rsid w:val="008E2F0B"/>
    <w:rsid w:val="008E3344"/>
    <w:rsid w:val="008E3880"/>
    <w:rsid w:val="008E4EF2"/>
    <w:rsid w:val="008E532B"/>
    <w:rsid w:val="008E532D"/>
    <w:rsid w:val="008E6155"/>
    <w:rsid w:val="008E6726"/>
    <w:rsid w:val="008E6ACC"/>
    <w:rsid w:val="008E750C"/>
    <w:rsid w:val="008F0244"/>
    <w:rsid w:val="008F047B"/>
    <w:rsid w:val="008F0520"/>
    <w:rsid w:val="008F0A7C"/>
    <w:rsid w:val="008F1644"/>
    <w:rsid w:val="008F1796"/>
    <w:rsid w:val="008F1901"/>
    <w:rsid w:val="008F1F06"/>
    <w:rsid w:val="008F202C"/>
    <w:rsid w:val="008F21BB"/>
    <w:rsid w:val="008F23A9"/>
    <w:rsid w:val="008F268A"/>
    <w:rsid w:val="008F2731"/>
    <w:rsid w:val="008F3359"/>
    <w:rsid w:val="008F3CD8"/>
    <w:rsid w:val="008F469D"/>
    <w:rsid w:val="008F4995"/>
    <w:rsid w:val="008F49C2"/>
    <w:rsid w:val="008F4A24"/>
    <w:rsid w:val="008F4BD9"/>
    <w:rsid w:val="008F5221"/>
    <w:rsid w:val="008F528A"/>
    <w:rsid w:val="008F5B69"/>
    <w:rsid w:val="008F5D12"/>
    <w:rsid w:val="008F6B23"/>
    <w:rsid w:val="008F7558"/>
    <w:rsid w:val="008F7F95"/>
    <w:rsid w:val="0090023F"/>
    <w:rsid w:val="00900454"/>
    <w:rsid w:val="0090084E"/>
    <w:rsid w:val="00900FB9"/>
    <w:rsid w:val="009015B1"/>
    <w:rsid w:val="009026AD"/>
    <w:rsid w:val="00903559"/>
    <w:rsid w:val="009035A8"/>
    <w:rsid w:val="00903B77"/>
    <w:rsid w:val="00903C89"/>
    <w:rsid w:val="009048F1"/>
    <w:rsid w:val="00905F2C"/>
    <w:rsid w:val="00906494"/>
    <w:rsid w:val="00906806"/>
    <w:rsid w:val="0090687C"/>
    <w:rsid w:val="00906CD2"/>
    <w:rsid w:val="00906F74"/>
    <w:rsid w:val="009072D8"/>
    <w:rsid w:val="00907835"/>
    <w:rsid w:val="0090785D"/>
    <w:rsid w:val="00907CC0"/>
    <w:rsid w:val="00910348"/>
    <w:rsid w:val="009105F4"/>
    <w:rsid w:val="009108DB"/>
    <w:rsid w:val="00910B92"/>
    <w:rsid w:val="00911685"/>
    <w:rsid w:val="00911904"/>
    <w:rsid w:val="00911B12"/>
    <w:rsid w:val="00911BEF"/>
    <w:rsid w:val="00911C09"/>
    <w:rsid w:val="00911E97"/>
    <w:rsid w:val="00912198"/>
    <w:rsid w:val="00912224"/>
    <w:rsid w:val="009123E0"/>
    <w:rsid w:val="00912D30"/>
    <w:rsid w:val="00912DFD"/>
    <w:rsid w:val="0091355A"/>
    <w:rsid w:val="00914453"/>
    <w:rsid w:val="00914CD2"/>
    <w:rsid w:val="00914D8E"/>
    <w:rsid w:val="009158CF"/>
    <w:rsid w:val="009161C5"/>
    <w:rsid w:val="009166B3"/>
    <w:rsid w:val="009167BE"/>
    <w:rsid w:val="0091680C"/>
    <w:rsid w:val="00916B9F"/>
    <w:rsid w:val="009178DD"/>
    <w:rsid w:val="009179CA"/>
    <w:rsid w:val="00917C60"/>
    <w:rsid w:val="00917D0C"/>
    <w:rsid w:val="00917E62"/>
    <w:rsid w:val="009202DC"/>
    <w:rsid w:val="009203ED"/>
    <w:rsid w:val="0092085E"/>
    <w:rsid w:val="009209DE"/>
    <w:rsid w:val="00920ABA"/>
    <w:rsid w:val="00921489"/>
    <w:rsid w:val="009216E3"/>
    <w:rsid w:val="009218D7"/>
    <w:rsid w:val="009225D3"/>
    <w:rsid w:val="009226CC"/>
    <w:rsid w:val="00922DE8"/>
    <w:rsid w:val="009233A7"/>
    <w:rsid w:val="009239BB"/>
    <w:rsid w:val="009245C6"/>
    <w:rsid w:val="00924ED1"/>
    <w:rsid w:val="00925102"/>
    <w:rsid w:val="009252BF"/>
    <w:rsid w:val="009257E3"/>
    <w:rsid w:val="00925A02"/>
    <w:rsid w:val="00925C7E"/>
    <w:rsid w:val="0092623E"/>
    <w:rsid w:val="00926B70"/>
    <w:rsid w:val="00926F54"/>
    <w:rsid w:val="0092726E"/>
    <w:rsid w:val="00927966"/>
    <w:rsid w:val="00927CD0"/>
    <w:rsid w:val="009312A5"/>
    <w:rsid w:val="0093180E"/>
    <w:rsid w:val="00931B4F"/>
    <w:rsid w:val="00932173"/>
    <w:rsid w:val="00932A7D"/>
    <w:rsid w:val="00932AAF"/>
    <w:rsid w:val="00932AD6"/>
    <w:rsid w:val="00932B8B"/>
    <w:rsid w:val="00933B0D"/>
    <w:rsid w:val="00933FAE"/>
    <w:rsid w:val="00934AE4"/>
    <w:rsid w:val="009350A1"/>
    <w:rsid w:val="00935354"/>
    <w:rsid w:val="00935396"/>
    <w:rsid w:val="00935B1F"/>
    <w:rsid w:val="00935B59"/>
    <w:rsid w:val="00935DA2"/>
    <w:rsid w:val="00936E55"/>
    <w:rsid w:val="0093784E"/>
    <w:rsid w:val="00937F8A"/>
    <w:rsid w:val="00941690"/>
    <w:rsid w:val="00941896"/>
    <w:rsid w:val="00941BBC"/>
    <w:rsid w:val="0094223C"/>
    <w:rsid w:val="009426C0"/>
    <w:rsid w:val="009432D6"/>
    <w:rsid w:val="00943418"/>
    <w:rsid w:val="00943589"/>
    <w:rsid w:val="00943614"/>
    <w:rsid w:val="00943902"/>
    <w:rsid w:val="00943B83"/>
    <w:rsid w:val="00943C89"/>
    <w:rsid w:val="00943EA7"/>
    <w:rsid w:val="0094449D"/>
    <w:rsid w:val="00944C81"/>
    <w:rsid w:val="00945165"/>
    <w:rsid w:val="00945749"/>
    <w:rsid w:val="00945974"/>
    <w:rsid w:val="00946039"/>
    <w:rsid w:val="0094636B"/>
    <w:rsid w:val="00946AEC"/>
    <w:rsid w:val="00946D34"/>
    <w:rsid w:val="009473EB"/>
    <w:rsid w:val="009475E8"/>
    <w:rsid w:val="00950070"/>
    <w:rsid w:val="00950255"/>
    <w:rsid w:val="00950528"/>
    <w:rsid w:val="00950AE8"/>
    <w:rsid w:val="00951049"/>
    <w:rsid w:val="009520AB"/>
    <w:rsid w:val="00952983"/>
    <w:rsid w:val="00952DC5"/>
    <w:rsid w:val="0095311B"/>
    <w:rsid w:val="00953893"/>
    <w:rsid w:val="009540C7"/>
    <w:rsid w:val="009547C2"/>
    <w:rsid w:val="009548AE"/>
    <w:rsid w:val="00954908"/>
    <w:rsid w:val="00955769"/>
    <w:rsid w:val="00955955"/>
    <w:rsid w:val="00955AB2"/>
    <w:rsid w:val="00955E7E"/>
    <w:rsid w:val="0095664B"/>
    <w:rsid w:val="00956AE8"/>
    <w:rsid w:val="0095735E"/>
    <w:rsid w:val="00957E99"/>
    <w:rsid w:val="0096016E"/>
    <w:rsid w:val="00960444"/>
    <w:rsid w:val="00960C65"/>
    <w:rsid w:val="00960F0A"/>
    <w:rsid w:val="0096101D"/>
    <w:rsid w:val="00961354"/>
    <w:rsid w:val="0096159C"/>
    <w:rsid w:val="0096173E"/>
    <w:rsid w:val="00961950"/>
    <w:rsid w:val="00961F29"/>
    <w:rsid w:val="00962352"/>
    <w:rsid w:val="0096268F"/>
    <w:rsid w:val="009626CD"/>
    <w:rsid w:val="00962ABB"/>
    <w:rsid w:val="009632AB"/>
    <w:rsid w:val="00963B07"/>
    <w:rsid w:val="009640CF"/>
    <w:rsid w:val="00964193"/>
    <w:rsid w:val="009646A7"/>
    <w:rsid w:val="00964BE7"/>
    <w:rsid w:val="009651A5"/>
    <w:rsid w:val="00965D51"/>
    <w:rsid w:val="00966230"/>
    <w:rsid w:val="009666EE"/>
    <w:rsid w:val="0096697C"/>
    <w:rsid w:val="009672ED"/>
    <w:rsid w:val="009676CE"/>
    <w:rsid w:val="00967744"/>
    <w:rsid w:val="0096777E"/>
    <w:rsid w:val="00970206"/>
    <w:rsid w:val="0097022A"/>
    <w:rsid w:val="00970545"/>
    <w:rsid w:val="00970CE9"/>
    <w:rsid w:val="00970DA4"/>
    <w:rsid w:val="00971270"/>
    <w:rsid w:val="00971BE5"/>
    <w:rsid w:val="00971DFC"/>
    <w:rsid w:val="0097306B"/>
    <w:rsid w:val="00973201"/>
    <w:rsid w:val="0097395A"/>
    <w:rsid w:val="00973B76"/>
    <w:rsid w:val="00973EF2"/>
    <w:rsid w:val="009743A0"/>
    <w:rsid w:val="00974C73"/>
    <w:rsid w:val="009752BD"/>
    <w:rsid w:val="009752C0"/>
    <w:rsid w:val="00975DA4"/>
    <w:rsid w:val="00975F5D"/>
    <w:rsid w:val="00975F8C"/>
    <w:rsid w:val="009766E1"/>
    <w:rsid w:val="0097677B"/>
    <w:rsid w:val="0097711A"/>
    <w:rsid w:val="00977565"/>
    <w:rsid w:val="0098043F"/>
    <w:rsid w:val="009805EF"/>
    <w:rsid w:val="00980621"/>
    <w:rsid w:val="009810AD"/>
    <w:rsid w:val="00981A5E"/>
    <w:rsid w:val="00981C29"/>
    <w:rsid w:val="00981D29"/>
    <w:rsid w:val="009831F8"/>
    <w:rsid w:val="009847D6"/>
    <w:rsid w:val="00984C43"/>
    <w:rsid w:val="00984D32"/>
    <w:rsid w:val="00984F28"/>
    <w:rsid w:val="00985B0F"/>
    <w:rsid w:val="00986246"/>
    <w:rsid w:val="009866B6"/>
    <w:rsid w:val="00986EB5"/>
    <w:rsid w:val="00987171"/>
    <w:rsid w:val="00987AFA"/>
    <w:rsid w:val="00987D4C"/>
    <w:rsid w:val="00987EB0"/>
    <w:rsid w:val="0099011C"/>
    <w:rsid w:val="009902BE"/>
    <w:rsid w:val="00990457"/>
    <w:rsid w:val="00990735"/>
    <w:rsid w:val="009907FD"/>
    <w:rsid w:val="009914F3"/>
    <w:rsid w:val="00991A21"/>
    <w:rsid w:val="00991BCB"/>
    <w:rsid w:val="00991ED3"/>
    <w:rsid w:val="0099247A"/>
    <w:rsid w:val="0099257F"/>
    <w:rsid w:val="00992ACF"/>
    <w:rsid w:val="00992B67"/>
    <w:rsid w:val="00992DB0"/>
    <w:rsid w:val="00994384"/>
    <w:rsid w:val="009950F4"/>
    <w:rsid w:val="0099549E"/>
    <w:rsid w:val="0099566C"/>
    <w:rsid w:val="00995687"/>
    <w:rsid w:val="00995DCF"/>
    <w:rsid w:val="009962E3"/>
    <w:rsid w:val="009975AC"/>
    <w:rsid w:val="0099767B"/>
    <w:rsid w:val="00997BFF"/>
    <w:rsid w:val="00997D14"/>
    <w:rsid w:val="009A1018"/>
    <w:rsid w:val="009A132A"/>
    <w:rsid w:val="009A15F6"/>
    <w:rsid w:val="009A1EFF"/>
    <w:rsid w:val="009A2446"/>
    <w:rsid w:val="009A255F"/>
    <w:rsid w:val="009A2618"/>
    <w:rsid w:val="009A270E"/>
    <w:rsid w:val="009A2D47"/>
    <w:rsid w:val="009A3C1E"/>
    <w:rsid w:val="009A3D33"/>
    <w:rsid w:val="009A4265"/>
    <w:rsid w:val="009A4DC4"/>
    <w:rsid w:val="009A512F"/>
    <w:rsid w:val="009A51A1"/>
    <w:rsid w:val="009A58DE"/>
    <w:rsid w:val="009A5A96"/>
    <w:rsid w:val="009A5DA5"/>
    <w:rsid w:val="009A5F5F"/>
    <w:rsid w:val="009A6568"/>
    <w:rsid w:val="009A65EB"/>
    <w:rsid w:val="009A6A37"/>
    <w:rsid w:val="009A7316"/>
    <w:rsid w:val="009A7FB9"/>
    <w:rsid w:val="009B03D1"/>
    <w:rsid w:val="009B0C56"/>
    <w:rsid w:val="009B134C"/>
    <w:rsid w:val="009B1818"/>
    <w:rsid w:val="009B285C"/>
    <w:rsid w:val="009B2CDA"/>
    <w:rsid w:val="009B2E76"/>
    <w:rsid w:val="009B30DF"/>
    <w:rsid w:val="009B3265"/>
    <w:rsid w:val="009B368D"/>
    <w:rsid w:val="009B38D9"/>
    <w:rsid w:val="009B3F05"/>
    <w:rsid w:val="009B4039"/>
    <w:rsid w:val="009B4107"/>
    <w:rsid w:val="009B4785"/>
    <w:rsid w:val="009B51DA"/>
    <w:rsid w:val="009B5644"/>
    <w:rsid w:val="009B5D59"/>
    <w:rsid w:val="009B6219"/>
    <w:rsid w:val="009B6331"/>
    <w:rsid w:val="009B669F"/>
    <w:rsid w:val="009B6B35"/>
    <w:rsid w:val="009B6DB4"/>
    <w:rsid w:val="009B6E16"/>
    <w:rsid w:val="009B7032"/>
    <w:rsid w:val="009B7541"/>
    <w:rsid w:val="009B7D9D"/>
    <w:rsid w:val="009C02D3"/>
    <w:rsid w:val="009C0452"/>
    <w:rsid w:val="009C0B8E"/>
    <w:rsid w:val="009C0EB7"/>
    <w:rsid w:val="009C1022"/>
    <w:rsid w:val="009C150C"/>
    <w:rsid w:val="009C1874"/>
    <w:rsid w:val="009C2713"/>
    <w:rsid w:val="009C379F"/>
    <w:rsid w:val="009C4BD8"/>
    <w:rsid w:val="009C4FE0"/>
    <w:rsid w:val="009C50B9"/>
    <w:rsid w:val="009C52B3"/>
    <w:rsid w:val="009C58E7"/>
    <w:rsid w:val="009C5EEF"/>
    <w:rsid w:val="009C7A46"/>
    <w:rsid w:val="009C7A76"/>
    <w:rsid w:val="009C7C36"/>
    <w:rsid w:val="009D08AD"/>
    <w:rsid w:val="009D11FB"/>
    <w:rsid w:val="009D159B"/>
    <w:rsid w:val="009D19D4"/>
    <w:rsid w:val="009D1AC6"/>
    <w:rsid w:val="009D1B79"/>
    <w:rsid w:val="009D1D5D"/>
    <w:rsid w:val="009D21FE"/>
    <w:rsid w:val="009D2600"/>
    <w:rsid w:val="009D2CA6"/>
    <w:rsid w:val="009D3201"/>
    <w:rsid w:val="009D3727"/>
    <w:rsid w:val="009D385E"/>
    <w:rsid w:val="009D41D0"/>
    <w:rsid w:val="009D4839"/>
    <w:rsid w:val="009D49E4"/>
    <w:rsid w:val="009D4EBC"/>
    <w:rsid w:val="009D522A"/>
    <w:rsid w:val="009D575D"/>
    <w:rsid w:val="009D6147"/>
    <w:rsid w:val="009D629A"/>
    <w:rsid w:val="009D6B7F"/>
    <w:rsid w:val="009D6DAF"/>
    <w:rsid w:val="009D6EEA"/>
    <w:rsid w:val="009D72C3"/>
    <w:rsid w:val="009D7325"/>
    <w:rsid w:val="009D7B57"/>
    <w:rsid w:val="009D7D19"/>
    <w:rsid w:val="009E0039"/>
    <w:rsid w:val="009E03EF"/>
    <w:rsid w:val="009E05B1"/>
    <w:rsid w:val="009E0671"/>
    <w:rsid w:val="009E0CDC"/>
    <w:rsid w:val="009E127A"/>
    <w:rsid w:val="009E1CC1"/>
    <w:rsid w:val="009E272B"/>
    <w:rsid w:val="009E2B4F"/>
    <w:rsid w:val="009E2DC1"/>
    <w:rsid w:val="009E3993"/>
    <w:rsid w:val="009E4502"/>
    <w:rsid w:val="009E4916"/>
    <w:rsid w:val="009E4E0E"/>
    <w:rsid w:val="009E5038"/>
    <w:rsid w:val="009E528E"/>
    <w:rsid w:val="009E54FB"/>
    <w:rsid w:val="009E58A3"/>
    <w:rsid w:val="009E5EC2"/>
    <w:rsid w:val="009E738A"/>
    <w:rsid w:val="009E7E5B"/>
    <w:rsid w:val="009F0401"/>
    <w:rsid w:val="009F06BF"/>
    <w:rsid w:val="009F0834"/>
    <w:rsid w:val="009F09D1"/>
    <w:rsid w:val="009F1311"/>
    <w:rsid w:val="009F1430"/>
    <w:rsid w:val="009F17B3"/>
    <w:rsid w:val="009F20CE"/>
    <w:rsid w:val="009F2251"/>
    <w:rsid w:val="009F231C"/>
    <w:rsid w:val="009F2359"/>
    <w:rsid w:val="009F2971"/>
    <w:rsid w:val="009F29FA"/>
    <w:rsid w:val="009F2C49"/>
    <w:rsid w:val="009F38D4"/>
    <w:rsid w:val="009F3B5F"/>
    <w:rsid w:val="009F3E10"/>
    <w:rsid w:val="009F3F82"/>
    <w:rsid w:val="009F4469"/>
    <w:rsid w:val="009F4FEE"/>
    <w:rsid w:val="009F5949"/>
    <w:rsid w:val="009F5953"/>
    <w:rsid w:val="009F5AE0"/>
    <w:rsid w:val="009F606C"/>
    <w:rsid w:val="009F6D49"/>
    <w:rsid w:val="009F72BD"/>
    <w:rsid w:val="009F745F"/>
    <w:rsid w:val="009F75AA"/>
    <w:rsid w:val="009F7697"/>
    <w:rsid w:val="009F7BAC"/>
    <w:rsid w:val="00A0031C"/>
    <w:rsid w:val="00A004B8"/>
    <w:rsid w:val="00A009FA"/>
    <w:rsid w:val="00A00D2F"/>
    <w:rsid w:val="00A017E5"/>
    <w:rsid w:val="00A01925"/>
    <w:rsid w:val="00A01C3A"/>
    <w:rsid w:val="00A02D80"/>
    <w:rsid w:val="00A02F6C"/>
    <w:rsid w:val="00A03499"/>
    <w:rsid w:val="00A03D9F"/>
    <w:rsid w:val="00A03FC5"/>
    <w:rsid w:val="00A0469D"/>
    <w:rsid w:val="00A05759"/>
    <w:rsid w:val="00A05955"/>
    <w:rsid w:val="00A05B3D"/>
    <w:rsid w:val="00A05E3A"/>
    <w:rsid w:val="00A05EA7"/>
    <w:rsid w:val="00A060E9"/>
    <w:rsid w:val="00A06A61"/>
    <w:rsid w:val="00A06F4E"/>
    <w:rsid w:val="00A072F8"/>
    <w:rsid w:val="00A07476"/>
    <w:rsid w:val="00A074DE"/>
    <w:rsid w:val="00A07680"/>
    <w:rsid w:val="00A07A06"/>
    <w:rsid w:val="00A10D0C"/>
    <w:rsid w:val="00A10F5C"/>
    <w:rsid w:val="00A11653"/>
    <w:rsid w:val="00A11C34"/>
    <w:rsid w:val="00A12077"/>
    <w:rsid w:val="00A121EF"/>
    <w:rsid w:val="00A12647"/>
    <w:rsid w:val="00A12D31"/>
    <w:rsid w:val="00A1356B"/>
    <w:rsid w:val="00A13677"/>
    <w:rsid w:val="00A137DB"/>
    <w:rsid w:val="00A1401D"/>
    <w:rsid w:val="00A14166"/>
    <w:rsid w:val="00A145BE"/>
    <w:rsid w:val="00A148D0"/>
    <w:rsid w:val="00A14977"/>
    <w:rsid w:val="00A14FBC"/>
    <w:rsid w:val="00A1536E"/>
    <w:rsid w:val="00A15AC7"/>
    <w:rsid w:val="00A16465"/>
    <w:rsid w:val="00A16659"/>
    <w:rsid w:val="00A1708F"/>
    <w:rsid w:val="00A176EF"/>
    <w:rsid w:val="00A17CBF"/>
    <w:rsid w:val="00A20B84"/>
    <w:rsid w:val="00A20FA6"/>
    <w:rsid w:val="00A20FF1"/>
    <w:rsid w:val="00A2153B"/>
    <w:rsid w:val="00A21656"/>
    <w:rsid w:val="00A21981"/>
    <w:rsid w:val="00A21B78"/>
    <w:rsid w:val="00A222EF"/>
    <w:rsid w:val="00A2284D"/>
    <w:rsid w:val="00A22EF6"/>
    <w:rsid w:val="00A2326F"/>
    <w:rsid w:val="00A2394B"/>
    <w:rsid w:val="00A23AA5"/>
    <w:rsid w:val="00A23ED3"/>
    <w:rsid w:val="00A24733"/>
    <w:rsid w:val="00A24C07"/>
    <w:rsid w:val="00A24EAA"/>
    <w:rsid w:val="00A250DE"/>
    <w:rsid w:val="00A2513C"/>
    <w:rsid w:val="00A25C31"/>
    <w:rsid w:val="00A25C95"/>
    <w:rsid w:val="00A25E6D"/>
    <w:rsid w:val="00A266C7"/>
    <w:rsid w:val="00A26B3A"/>
    <w:rsid w:val="00A270B3"/>
    <w:rsid w:val="00A27ACE"/>
    <w:rsid w:val="00A27F4C"/>
    <w:rsid w:val="00A30032"/>
    <w:rsid w:val="00A3014D"/>
    <w:rsid w:val="00A30160"/>
    <w:rsid w:val="00A317E5"/>
    <w:rsid w:val="00A320E9"/>
    <w:rsid w:val="00A32682"/>
    <w:rsid w:val="00A32826"/>
    <w:rsid w:val="00A33125"/>
    <w:rsid w:val="00A33671"/>
    <w:rsid w:val="00A3371D"/>
    <w:rsid w:val="00A3447B"/>
    <w:rsid w:val="00A347E9"/>
    <w:rsid w:val="00A34FBA"/>
    <w:rsid w:val="00A3527C"/>
    <w:rsid w:val="00A35900"/>
    <w:rsid w:val="00A35E9B"/>
    <w:rsid w:val="00A36279"/>
    <w:rsid w:val="00A36405"/>
    <w:rsid w:val="00A36B5C"/>
    <w:rsid w:val="00A36CD1"/>
    <w:rsid w:val="00A36D91"/>
    <w:rsid w:val="00A37FB8"/>
    <w:rsid w:val="00A40267"/>
    <w:rsid w:val="00A40EC6"/>
    <w:rsid w:val="00A41165"/>
    <w:rsid w:val="00A412DA"/>
    <w:rsid w:val="00A416CE"/>
    <w:rsid w:val="00A4191F"/>
    <w:rsid w:val="00A41922"/>
    <w:rsid w:val="00A41954"/>
    <w:rsid w:val="00A420A5"/>
    <w:rsid w:val="00A42839"/>
    <w:rsid w:val="00A436B7"/>
    <w:rsid w:val="00A44BDE"/>
    <w:rsid w:val="00A4522B"/>
    <w:rsid w:val="00A45F60"/>
    <w:rsid w:val="00A46C93"/>
    <w:rsid w:val="00A473D9"/>
    <w:rsid w:val="00A50128"/>
    <w:rsid w:val="00A505A1"/>
    <w:rsid w:val="00A508B9"/>
    <w:rsid w:val="00A508F7"/>
    <w:rsid w:val="00A509D6"/>
    <w:rsid w:val="00A50F09"/>
    <w:rsid w:val="00A511ED"/>
    <w:rsid w:val="00A516EB"/>
    <w:rsid w:val="00A5172A"/>
    <w:rsid w:val="00A51B71"/>
    <w:rsid w:val="00A51DB6"/>
    <w:rsid w:val="00A5220B"/>
    <w:rsid w:val="00A5245A"/>
    <w:rsid w:val="00A53299"/>
    <w:rsid w:val="00A53737"/>
    <w:rsid w:val="00A53897"/>
    <w:rsid w:val="00A543CE"/>
    <w:rsid w:val="00A5497D"/>
    <w:rsid w:val="00A54DF9"/>
    <w:rsid w:val="00A54F2A"/>
    <w:rsid w:val="00A550D1"/>
    <w:rsid w:val="00A555FA"/>
    <w:rsid w:val="00A5589D"/>
    <w:rsid w:val="00A5595D"/>
    <w:rsid w:val="00A55F50"/>
    <w:rsid w:val="00A56338"/>
    <w:rsid w:val="00A5652A"/>
    <w:rsid w:val="00A566BC"/>
    <w:rsid w:val="00A56997"/>
    <w:rsid w:val="00A56ABF"/>
    <w:rsid w:val="00A56C30"/>
    <w:rsid w:val="00A57E1C"/>
    <w:rsid w:val="00A603C7"/>
    <w:rsid w:val="00A608DD"/>
    <w:rsid w:val="00A60CF4"/>
    <w:rsid w:val="00A60D08"/>
    <w:rsid w:val="00A61373"/>
    <w:rsid w:val="00A6137C"/>
    <w:rsid w:val="00A624F1"/>
    <w:rsid w:val="00A62B9E"/>
    <w:rsid w:val="00A62F23"/>
    <w:rsid w:val="00A64001"/>
    <w:rsid w:val="00A646D0"/>
    <w:rsid w:val="00A647A5"/>
    <w:rsid w:val="00A651BA"/>
    <w:rsid w:val="00A651DC"/>
    <w:rsid w:val="00A65277"/>
    <w:rsid w:val="00A65454"/>
    <w:rsid w:val="00A655AE"/>
    <w:rsid w:val="00A66137"/>
    <w:rsid w:val="00A66234"/>
    <w:rsid w:val="00A66747"/>
    <w:rsid w:val="00A66AAC"/>
    <w:rsid w:val="00A66CD0"/>
    <w:rsid w:val="00A66EB6"/>
    <w:rsid w:val="00A672F0"/>
    <w:rsid w:val="00A674F0"/>
    <w:rsid w:val="00A676C9"/>
    <w:rsid w:val="00A703BE"/>
    <w:rsid w:val="00A705D7"/>
    <w:rsid w:val="00A71080"/>
    <w:rsid w:val="00A713BC"/>
    <w:rsid w:val="00A7159F"/>
    <w:rsid w:val="00A71880"/>
    <w:rsid w:val="00A71A7F"/>
    <w:rsid w:val="00A72035"/>
    <w:rsid w:val="00A72997"/>
    <w:rsid w:val="00A72A3B"/>
    <w:rsid w:val="00A7306C"/>
    <w:rsid w:val="00A734B4"/>
    <w:rsid w:val="00A74234"/>
    <w:rsid w:val="00A744F1"/>
    <w:rsid w:val="00A74535"/>
    <w:rsid w:val="00A74CAE"/>
    <w:rsid w:val="00A750D5"/>
    <w:rsid w:val="00A756A5"/>
    <w:rsid w:val="00A75826"/>
    <w:rsid w:val="00A766DA"/>
    <w:rsid w:val="00A767E9"/>
    <w:rsid w:val="00A76A44"/>
    <w:rsid w:val="00A76D05"/>
    <w:rsid w:val="00A77254"/>
    <w:rsid w:val="00A775A9"/>
    <w:rsid w:val="00A77DC0"/>
    <w:rsid w:val="00A80BF6"/>
    <w:rsid w:val="00A80F50"/>
    <w:rsid w:val="00A81B4D"/>
    <w:rsid w:val="00A82398"/>
    <w:rsid w:val="00A82425"/>
    <w:rsid w:val="00A82B64"/>
    <w:rsid w:val="00A82D0A"/>
    <w:rsid w:val="00A830C3"/>
    <w:rsid w:val="00A832EC"/>
    <w:rsid w:val="00A83463"/>
    <w:rsid w:val="00A83AFA"/>
    <w:rsid w:val="00A840BE"/>
    <w:rsid w:val="00A85212"/>
    <w:rsid w:val="00A8550E"/>
    <w:rsid w:val="00A857DF"/>
    <w:rsid w:val="00A85EE0"/>
    <w:rsid w:val="00A8601F"/>
    <w:rsid w:val="00A86209"/>
    <w:rsid w:val="00A863B4"/>
    <w:rsid w:val="00A866EA"/>
    <w:rsid w:val="00A8673E"/>
    <w:rsid w:val="00A8679C"/>
    <w:rsid w:val="00A86919"/>
    <w:rsid w:val="00A8698E"/>
    <w:rsid w:val="00A86D35"/>
    <w:rsid w:val="00A86D8C"/>
    <w:rsid w:val="00A8733F"/>
    <w:rsid w:val="00A873EA"/>
    <w:rsid w:val="00A902B0"/>
    <w:rsid w:val="00A91206"/>
    <w:rsid w:val="00A913CE"/>
    <w:rsid w:val="00A91A5D"/>
    <w:rsid w:val="00A91CA6"/>
    <w:rsid w:val="00A92370"/>
    <w:rsid w:val="00A928F5"/>
    <w:rsid w:val="00A936EA"/>
    <w:rsid w:val="00A9493E"/>
    <w:rsid w:val="00A94D54"/>
    <w:rsid w:val="00A951A5"/>
    <w:rsid w:val="00A95891"/>
    <w:rsid w:val="00A95C34"/>
    <w:rsid w:val="00A95C7D"/>
    <w:rsid w:val="00A95E4B"/>
    <w:rsid w:val="00A96179"/>
    <w:rsid w:val="00A96580"/>
    <w:rsid w:val="00A96F2E"/>
    <w:rsid w:val="00A96FE8"/>
    <w:rsid w:val="00A9766C"/>
    <w:rsid w:val="00A9772B"/>
    <w:rsid w:val="00A978AF"/>
    <w:rsid w:val="00A97AA2"/>
    <w:rsid w:val="00AA085F"/>
    <w:rsid w:val="00AA086B"/>
    <w:rsid w:val="00AA0F88"/>
    <w:rsid w:val="00AA2238"/>
    <w:rsid w:val="00AA242B"/>
    <w:rsid w:val="00AA44C9"/>
    <w:rsid w:val="00AA4747"/>
    <w:rsid w:val="00AA4A24"/>
    <w:rsid w:val="00AA4D1D"/>
    <w:rsid w:val="00AA51F6"/>
    <w:rsid w:val="00AA538F"/>
    <w:rsid w:val="00AA53C0"/>
    <w:rsid w:val="00AA58CF"/>
    <w:rsid w:val="00AA61DB"/>
    <w:rsid w:val="00AA65CB"/>
    <w:rsid w:val="00AA670D"/>
    <w:rsid w:val="00AA6EFC"/>
    <w:rsid w:val="00AA7CC1"/>
    <w:rsid w:val="00AB07DD"/>
    <w:rsid w:val="00AB0D33"/>
    <w:rsid w:val="00AB0E55"/>
    <w:rsid w:val="00AB0E9D"/>
    <w:rsid w:val="00AB0F7E"/>
    <w:rsid w:val="00AB113C"/>
    <w:rsid w:val="00AB1276"/>
    <w:rsid w:val="00AB1488"/>
    <w:rsid w:val="00AB15CA"/>
    <w:rsid w:val="00AB171A"/>
    <w:rsid w:val="00AB1859"/>
    <w:rsid w:val="00AB1866"/>
    <w:rsid w:val="00AB249D"/>
    <w:rsid w:val="00AB2A10"/>
    <w:rsid w:val="00AB2D4D"/>
    <w:rsid w:val="00AB2DFB"/>
    <w:rsid w:val="00AB2E88"/>
    <w:rsid w:val="00AB2EF1"/>
    <w:rsid w:val="00AB3E55"/>
    <w:rsid w:val="00AB40B8"/>
    <w:rsid w:val="00AB4422"/>
    <w:rsid w:val="00AB4A3C"/>
    <w:rsid w:val="00AB5380"/>
    <w:rsid w:val="00AB5452"/>
    <w:rsid w:val="00AB5C77"/>
    <w:rsid w:val="00AB5CE6"/>
    <w:rsid w:val="00AB62AE"/>
    <w:rsid w:val="00AB65B3"/>
    <w:rsid w:val="00AB6EB8"/>
    <w:rsid w:val="00AB71BA"/>
    <w:rsid w:val="00AB7353"/>
    <w:rsid w:val="00AB77DC"/>
    <w:rsid w:val="00AC0310"/>
    <w:rsid w:val="00AC0C92"/>
    <w:rsid w:val="00AC176A"/>
    <w:rsid w:val="00AC1B92"/>
    <w:rsid w:val="00AC2542"/>
    <w:rsid w:val="00AC26B9"/>
    <w:rsid w:val="00AC32B8"/>
    <w:rsid w:val="00AC3491"/>
    <w:rsid w:val="00AC3595"/>
    <w:rsid w:val="00AC3849"/>
    <w:rsid w:val="00AC3A95"/>
    <w:rsid w:val="00AC3AB3"/>
    <w:rsid w:val="00AC3C4D"/>
    <w:rsid w:val="00AC44B1"/>
    <w:rsid w:val="00AC4DE5"/>
    <w:rsid w:val="00AC55F1"/>
    <w:rsid w:val="00AC5F2A"/>
    <w:rsid w:val="00AC5F54"/>
    <w:rsid w:val="00AC6969"/>
    <w:rsid w:val="00AC6E28"/>
    <w:rsid w:val="00AC71EA"/>
    <w:rsid w:val="00AC75F4"/>
    <w:rsid w:val="00AC7862"/>
    <w:rsid w:val="00AC7995"/>
    <w:rsid w:val="00AC7ABC"/>
    <w:rsid w:val="00AD05EA"/>
    <w:rsid w:val="00AD0668"/>
    <w:rsid w:val="00AD1422"/>
    <w:rsid w:val="00AD14DB"/>
    <w:rsid w:val="00AD1699"/>
    <w:rsid w:val="00AD16EF"/>
    <w:rsid w:val="00AD1B8E"/>
    <w:rsid w:val="00AD20C3"/>
    <w:rsid w:val="00AD217B"/>
    <w:rsid w:val="00AD21F2"/>
    <w:rsid w:val="00AD26BD"/>
    <w:rsid w:val="00AD2BDD"/>
    <w:rsid w:val="00AD2E72"/>
    <w:rsid w:val="00AD35C2"/>
    <w:rsid w:val="00AD3A80"/>
    <w:rsid w:val="00AD3AE0"/>
    <w:rsid w:val="00AD474C"/>
    <w:rsid w:val="00AD4ABB"/>
    <w:rsid w:val="00AD4E23"/>
    <w:rsid w:val="00AD5A59"/>
    <w:rsid w:val="00AD5E14"/>
    <w:rsid w:val="00AD5E67"/>
    <w:rsid w:val="00AD6538"/>
    <w:rsid w:val="00AD6815"/>
    <w:rsid w:val="00AD692F"/>
    <w:rsid w:val="00AD69DE"/>
    <w:rsid w:val="00AD6B7C"/>
    <w:rsid w:val="00AD7BDD"/>
    <w:rsid w:val="00AD7D42"/>
    <w:rsid w:val="00AE010F"/>
    <w:rsid w:val="00AE032F"/>
    <w:rsid w:val="00AE037B"/>
    <w:rsid w:val="00AE0A67"/>
    <w:rsid w:val="00AE0AD7"/>
    <w:rsid w:val="00AE0E1F"/>
    <w:rsid w:val="00AE115B"/>
    <w:rsid w:val="00AE11EE"/>
    <w:rsid w:val="00AE144B"/>
    <w:rsid w:val="00AE15A8"/>
    <w:rsid w:val="00AE1A87"/>
    <w:rsid w:val="00AE239E"/>
    <w:rsid w:val="00AE2495"/>
    <w:rsid w:val="00AE24BC"/>
    <w:rsid w:val="00AE2BE4"/>
    <w:rsid w:val="00AE2E45"/>
    <w:rsid w:val="00AE32B2"/>
    <w:rsid w:val="00AE32DE"/>
    <w:rsid w:val="00AE35DC"/>
    <w:rsid w:val="00AE3769"/>
    <w:rsid w:val="00AE4219"/>
    <w:rsid w:val="00AE4BCF"/>
    <w:rsid w:val="00AE4E6B"/>
    <w:rsid w:val="00AE4F1D"/>
    <w:rsid w:val="00AE5B58"/>
    <w:rsid w:val="00AE5CA5"/>
    <w:rsid w:val="00AE5F1F"/>
    <w:rsid w:val="00AE6437"/>
    <w:rsid w:val="00AE659E"/>
    <w:rsid w:val="00AE6FB3"/>
    <w:rsid w:val="00AE7431"/>
    <w:rsid w:val="00AE7B90"/>
    <w:rsid w:val="00AE7B9C"/>
    <w:rsid w:val="00AF04AC"/>
    <w:rsid w:val="00AF0738"/>
    <w:rsid w:val="00AF141A"/>
    <w:rsid w:val="00AF160F"/>
    <w:rsid w:val="00AF17F4"/>
    <w:rsid w:val="00AF19D8"/>
    <w:rsid w:val="00AF1B00"/>
    <w:rsid w:val="00AF1C9C"/>
    <w:rsid w:val="00AF23D7"/>
    <w:rsid w:val="00AF2675"/>
    <w:rsid w:val="00AF2BA7"/>
    <w:rsid w:val="00AF3B55"/>
    <w:rsid w:val="00AF4736"/>
    <w:rsid w:val="00AF4773"/>
    <w:rsid w:val="00AF4950"/>
    <w:rsid w:val="00AF4AB3"/>
    <w:rsid w:val="00AF5419"/>
    <w:rsid w:val="00AF5AA8"/>
    <w:rsid w:val="00AF5FEF"/>
    <w:rsid w:val="00AF6E36"/>
    <w:rsid w:val="00AF7DD2"/>
    <w:rsid w:val="00AF7FAF"/>
    <w:rsid w:val="00B00122"/>
    <w:rsid w:val="00B00B55"/>
    <w:rsid w:val="00B00CD5"/>
    <w:rsid w:val="00B0103E"/>
    <w:rsid w:val="00B01ABD"/>
    <w:rsid w:val="00B01D1F"/>
    <w:rsid w:val="00B02457"/>
    <w:rsid w:val="00B026B9"/>
    <w:rsid w:val="00B03164"/>
    <w:rsid w:val="00B03B9B"/>
    <w:rsid w:val="00B048FA"/>
    <w:rsid w:val="00B04B60"/>
    <w:rsid w:val="00B04D7E"/>
    <w:rsid w:val="00B05040"/>
    <w:rsid w:val="00B058A6"/>
    <w:rsid w:val="00B05F9D"/>
    <w:rsid w:val="00B0612D"/>
    <w:rsid w:val="00B06389"/>
    <w:rsid w:val="00B06F8C"/>
    <w:rsid w:val="00B07AD7"/>
    <w:rsid w:val="00B10A5F"/>
    <w:rsid w:val="00B10F6E"/>
    <w:rsid w:val="00B11AFE"/>
    <w:rsid w:val="00B11BBC"/>
    <w:rsid w:val="00B11C08"/>
    <w:rsid w:val="00B125E3"/>
    <w:rsid w:val="00B127C2"/>
    <w:rsid w:val="00B12BBC"/>
    <w:rsid w:val="00B12D85"/>
    <w:rsid w:val="00B12DA1"/>
    <w:rsid w:val="00B13033"/>
    <w:rsid w:val="00B13664"/>
    <w:rsid w:val="00B1369E"/>
    <w:rsid w:val="00B13C78"/>
    <w:rsid w:val="00B13E45"/>
    <w:rsid w:val="00B1424F"/>
    <w:rsid w:val="00B14931"/>
    <w:rsid w:val="00B14D7E"/>
    <w:rsid w:val="00B15227"/>
    <w:rsid w:val="00B1548F"/>
    <w:rsid w:val="00B155CE"/>
    <w:rsid w:val="00B15C89"/>
    <w:rsid w:val="00B15FDF"/>
    <w:rsid w:val="00B16105"/>
    <w:rsid w:val="00B16623"/>
    <w:rsid w:val="00B167B1"/>
    <w:rsid w:val="00B16C5E"/>
    <w:rsid w:val="00B176CA"/>
    <w:rsid w:val="00B20282"/>
    <w:rsid w:val="00B20DF3"/>
    <w:rsid w:val="00B20E81"/>
    <w:rsid w:val="00B21AD0"/>
    <w:rsid w:val="00B21D86"/>
    <w:rsid w:val="00B226A3"/>
    <w:rsid w:val="00B22C10"/>
    <w:rsid w:val="00B22D8F"/>
    <w:rsid w:val="00B231A3"/>
    <w:rsid w:val="00B247D3"/>
    <w:rsid w:val="00B248E4"/>
    <w:rsid w:val="00B24B48"/>
    <w:rsid w:val="00B24C24"/>
    <w:rsid w:val="00B251B3"/>
    <w:rsid w:val="00B262B6"/>
    <w:rsid w:val="00B26D83"/>
    <w:rsid w:val="00B26DAE"/>
    <w:rsid w:val="00B26DE1"/>
    <w:rsid w:val="00B26E36"/>
    <w:rsid w:val="00B2738E"/>
    <w:rsid w:val="00B3071F"/>
    <w:rsid w:val="00B31068"/>
    <w:rsid w:val="00B31DAC"/>
    <w:rsid w:val="00B3202D"/>
    <w:rsid w:val="00B32647"/>
    <w:rsid w:val="00B3283C"/>
    <w:rsid w:val="00B32DB2"/>
    <w:rsid w:val="00B335E0"/>
    <w:rsid w:val="00B34183"/>
    <w:rsid w:val="00B34C0D"/>
    <w:rsid w:val="00B34F7A"/>
    <w:rsid w:val="00B35147"/>
    <w:rsid w:val="00B3514A"/>
    <w:rsid w:val="00B351F2"/>
    <w:rsid w:val="00B35254"/>
    <w:rsid w:val="00B35264"/>
    <w:rsid w:val="00B35819"/>
    <w:rsid w:val="00B35C1E"/>
    <w:rsid w:val="00B35C68"/>
    <w:rsid w:val="00B35F27"/>
    <w:rsid w:val="00B36315"/>
    <w:rsid w:val="00B36769"/>
    <w:rsid w:val="00B3677B"/>
    <w:rsid w:val="00B36ECD"/>
    <w:rsid w:val="00B36EE3"/>
    <w:rsid w:val="00B36FBF"/>
    <w:rsid w:val="00B37691"/>
    <w:rsid w:val="00B37EE6"/>
    <w:rsid w:val="00B40431"/>
    <w:rsid w:val="00B40FCC"/>
    <w:rsid w:val="00B4180B"/>
    <w:rsid w:val="00B41900"/>
    <w:rsid w:val="00B41E52"/>
    <w:rsid w:val="00B41ED0"/>
    <w:rsid w:val="00B420B7"/>
    <w:rsid w:val="00B42138"/>
    <w:rsid w:val="00B4238D"/>
    <w:rsid w:val="00B42693"/>
    <w:rsid w:val="00B42A96"/>
    <w:rsid w:val="00B4377E"/>
    <w:rsid w:val="00B43FFE"/>
    <w:rsid w:val="00B44235"/>
    <w:rsid w:val="00B446B3"/>
    <w:rsid w:val="00B44C70"/>
    <w:rsid w:val="00B44DD5"/>
    <w:rsid w:val="00B44F00"/>
    <w:rsid w:val="00B450D8"/>
    <w:rsid w:val="00B45C0A"/>
    <w:rsid w:val="00B45DAE"/>
    <w:rsid w:val="00B45DEF"/>
    <w:rsid w:val="00B45E7B"/>
    <w:rsid w:val="00B46361"/>
    <w:rsid w:val="00B467E8"/>
    <w:rsid w:val="00B469CE"/>
    <w:rsid w:val="00B469DB"/>
    <w:rsid w:val="00B46C75"/>
    <w:rsid w:val="00B50583"/>
    <w:rsid w:val="00B50924"/>
    <w:rsid w:val="00B50F0A"/>
    <w:rsid w:val="00B51668"/>
    <w:rsid w:val="00B51CBC"/>
    <w:rsid w:val="00B52348"/>
    <w:rsid w:val="00B52757"/>
    <w:rsid w:val="00B5284B"/>
    <w:rsid w:val="00B52CDD"/>
    <w:rsid w:val="00B53189"/>
    <w:rsid w:val="00B5326C"/>
    <w:rsid w:val="00B5338D"/>
    <w:rsid w:val="00B533FE"/>
    <w:rsid w:val="00B54171"/>
    <w:rsid w:val="00B552E8"/>
    <w:rsid w:val="00B55568"/>
    <w:rsid w:val="00B55594"/>
    <w:rsid w:val="00B55614"/>
    <w:rsid w:val="00B55662"/>
    <w:rsid w:val="00B558B2"/>
    <w:rsid w:val="00B55984"/>
    <w:rsid w:val="00B55C37"/>
    <w:rsid w:val="00B56426"/>
    <w:rsid w:val="00B56AD5"/>
    <w:rsid w:val="00B56BCF"/>
    <w:rsid w:val="00B56CAF"/>
    <w:rsid w:val="00B60AFE"/>
    <w:rsid w:val="00B62329"/>
    <w:rsid w:val="00B62357"/>
    <w:rsid w:val="00B62631"/>
    <w:rsid w:val="00B62A2F"/>
    <w:rsid w:val="00B635C3"/>
    <w:rsid w:val="00B63CE0"/>
    <w:rsid w:val="00B63FEF"/>
    <w:rsid w:val="00B6426C"/>
    <w:rsid w:val="00B64476"/>
    <w:rsid w:val="00B6452F"/>
    <w:rsid w:val="00B656B4"/>
    <w:rsid w:val="00B65901"/>
    <w:rsid w:val="00B65A91"/>
    <w:rsid w:val="00B662F0"/>
    <w:rsid w:val="00B670E8"/>
    <w:rsid w:val="00B67491"/>
    <w:rsid w:val="00B676CC"/>
    <w:rsid w:val="00B7042D"/>
    <w:rsid w:val="00B704D3"/>
    <w:rsid w:val="00B70CF6"/>
    <w:rsid w:val="00B710A8"/>
    <w:rsid w:val="00B712D9"/>
    <w:rsid w:val="00B7165D"/>
    <w:rsid w:val="00B7186E"/>
    <w:rsid w:val="00B7256B"/>
    <w:rsid w:val="00B72A29"/>
    <w:rsid w:val="00B72C77"/>
    <w:rsid w:val="00B72D2C"/>
    <w:rsid w:val="00B73108"/>
    <w:rsid w:val="00B73435"/>
    <w:rsid w:val="00B7366A"/>
    <w:rsid w:val="00B73695"/>
    <w:rsid w:val="00B73713"/>
    <w:rsid w:val="00B73B43"/>
    <w:rsid w:val="00B73E1A"/>
    <w:rsid w:val="00B74237"/>
    <w:rsid w:val="00B74C54"/>
    <w:rsid w:val="00B753FC"/>
    <w:rsid w:val="00B75AE3"/>
    <w:rsid w:val="00B765A0"/>
    <w:rsid w:val="00B7685C"/>
    <w:rsid w:val="00B76A88"/>
    <w:rsid w:val="00B77508"/>
    <w:rsid w:val="00B77ACA"/>
    <w:rsid w:val="00B8002E"/>
    <w:rsid w:val="00B8052C"/>
    <w:rsid w:val="00B8060F"/>
    <w:rsid w:val="00B81A12"/>
    <w:rsid w:val="00B81DD8"/>
    <w:rsid w:val="00B82222"/>
    <w:rsid w:val="00B82AD7"/>
    <w:rsid w:val="00B82C13"/>
    <w:rsid w:val="00B82DF1"/>
    <w:rsid w:val="00B83086"/>
    <w:rsid w:val="00B8319F"/>
    <w:rsid w:val="00B837FA"/>
    <w:rsid w:val="00B838BE"/>
    <w:rsid w:val="00B83D3F"/>
    <w:rsid w:val="00B84A6C"/>
    <w:rsid w:val="00B84AE4"/>
    <w:rsid w:val="00B85364"/>
    <w:rsid w:val="00B8564B"/>
    <w:rsid w:val="00B85976"/>
    <w:rsid w:val="00B85BAC"/>
    <w:rsid w:val="00B8653E"/>
    <w:rsid w:val="00B86855"/>
    <w:rsid w:val="00B86C5E"/>
    <w:rsid w:val="00B87823"/>
    <w:rsid w:val="00B87879"/>
    <w:rsid w:val="00B904DF"/>
    <w:rsid w:val="00B904F1"/>
    <w:rsid w:val="00B9060A"/>
    <w:rsid w:val="00B9071E"/>
    <w:rsid w:val="00B9074E"/>
    <w:rsid w:val="00B912AB"/>
    <w:rsid w:val="00B912B3"/>
    <w:rsid w:val="00B9172F"/>
    <w:rsid w:val="00B91B22"/>
    <w:rsid w:val="00B91B71"/>
    <w:rsid w:val="00B921D5"/>
    <w:rsid w:val="00B92525"/>
    <w:rsid w:val="00B92674"/>
    <w:rsid w:val="00B926B7"/>
    <w:rsid w:val="00B92C77"/>
    <w:rsid w:val="00B92E66"/>
    <w:rsid w:val="00B939FF"/>
    <w:rsid w:val="00B942DE"/>
    <w:rsid w:val="00B954FA"/>
    <w:rsid w:val="00B957EC"/>
    <w:rsid w:val="00B95947"/>
    <w:rsid w:val="00B95B33"/>
    <w:rsid w:val="00B95EB0"/>
    <w:rsid w:val="00B9616F"/>
    <w:rsid w:val="00B96D28"/>
    <w:rsid w:val="00B970FC"/>
    <w:rsid w:val="00BA0EBD"/>
    <w:rsid w:val="00BA14D2"/>
    <w:rsid w:val="00BA1C1E"/>
    <w:rsid w:val="00BA1E55"/>
    <w:rsid w:val="00BA1E7F"/>
    <w:rsid w:val="00BA2556"/>
    <w:rsid w:val="00BA290A"/>
    <w:rsid w:val="00BA3480"/>
    <w:rsid w:val="00BA3BB5"/>
    <w:rsid w:val="00BA3C43"/>
    <w:rsid w:val="00BA52AE"/>
    <w:rsid w:val="00BA55F1"/>
    <w:rsid w:val="00BA5AEB"/>
    <w:rsid w:val="00BA5B0E"/>
    <w:rsid w:val="00BA5D10"/>
    <w:rsid w:val="00BA5D75"/>
    <w:rsid w:val="00BA5E25"/>
    <w:rsid w:val="00BA5FA3"/>
    <w:rsid w:val="00BA61DF"/>
    <w:rsid w:val="00BA62BA"/>
    <w:rsid w:val="00BA672D"/>
    <w:rsid w:val="00BA689F"/>
    <w:rsid w:val="00BA68DF"/>
    <w:rsid w:val="00BA6A2E"/>
    <w:rsid w:val="00BA726C"/>
    <w:rsid w:val="00BA7570"/>
    <w:rsid w:val="00BB047C"/>
    <w:rsid w:val="00BB06DE"/>
    <w:rsid w:val="00BB0B2A"/>
    <w:rsid w:val="00BB1098"/>
    <w:rsid w:val="00BB1C70"/>
    <w:rsid w:val="00BB1E85"/>
    <w:rsid w:val="00BB2F27"/>
    <w:rsid w:val="00BB346F"/>
    <w:rsid w:val="00BB3E47"/>
    <w:rsid w:val="00BB40BC"/>
    <w:rsid w:val="00BB4A13"/>
    <w:rsid w:val="00BB4EC1"/>
    <w:rsid w:val="00BB5BB5"/>
    <w:rsid w:val="00BB63F3"/>
    <w:rsid w:val="00BB640D"/>
    <w:rsid w:val="00BB6CE5"/>
    <w:rsid w:val="00BB6D44"/>
    <w:rsid w:val="00BB6D47"/>
    <w:rsid w:val="00BB75AB"/>
    <w:rsid w:val="00BB771F"/>
    <w:rsid w:val="00BB7CC0"/>
    <w:rsid w:val="00BB7EF4"/>
    <w:rsid w:val="00BC01F8"/>
    <w:rsid w:val="00BC0930"/>
    <w:rsid w:val="00BC0A01"/>
    <w:rsid w:val="00BC10AE"/>
    <w:rsid w:val="00BC13DE"/>
    <w:rsid w:val="00BC18FF"/>
    <w:rsid w:val="00BC2232"/>
    <w:rsid w:val="00BC238A"/>
    <w:rsid w:val="00BC3036"/>
    <w:rsid w:val="00BC32B1"/>
    <w:rsid w:val="00BC372B"/>
    <w:rsid w:val="00BC3BB9"/>
    <w:rsid w:val="00BC3BE9"/>
    <w:rsid w:val="00BC3D12"/>
    <w:rsid w:val="00BC3D45"/>
    <w:rsid w:val="00BC3EEF"/>
    <w:rsid w:val="00BC42E0"/>
    <w:rsid w:val="00BC44EB"/>
    <w:rsid w:val="00BC491B"/>
    <w:rsid w:val="00BC4B06"/>
    <w:rsid w:val="00BC4C55"/>
    <w:rsid w:val="00BC4D02"/>
    <w:rsid w:val="00BC558D"/>
    <w:rsid w:val="00BC5CEA"/>
    <w:rsid w:val="00BC6628"/>
    <w:rsid w:val="00BC7025"/>
    <w:rsid w:val="00BC75F3"/>
    <w:rsid w:val="00BD0365"/>
    <w:rsid w:val="00BD0DB5"/>
    <w:rsid w:val="00BD0ECB"/>
    <w:rsid w:val="00BD106E"/>
    <w:rsid w:val="00BD10E7"/>
    <w:rsid w:val="00BD1EA9"/>
    <w:rsid w:val="00BD1F18"/>
    <w:rsid w:val="00BD22B1"/>
    <w:rsid w:val="00BD2844"/>
    <w:rsid w:val="00BD35A9"/>
    <w:rsid w:val="00BD373B"/>
    <w:rsid w:val="00BD4177"/>
    <w:rsid w:val="00BD4477"/>
    <w:rsid w:val="00BD44C4"/>
    <w:rsid w:val="00BD4635"/>
    <w:rsid w:val="00BD470D"/>
    <w:rsid w:val="00BD506B"/>
    <w:rsid w:val="00BD5631"/>
    <w:rsid w:val="00BD5D0A"/>
    <w:rsid w:val="00BD5F0F"/>
    <w:rsid w:val="00BD6622"/>
    <w:rsid w:val="00BD69C9"/>
    <w:rsid w:val="00BD6C2E"/>
    <w:rsid w:val="00BD6CC5"/>
    <w:rsid w:val="00BE001B"/>
    <w:rsid w:val="00BE0062"/>
    <w:rsid w:val="00BE0A07"/>
    <w:rsid w:val="00BE0AF0"/>
    <w:rsid w:val="00BE0D08"/>
    <w:rsid w:val="00BE0FA1"/>
    <w:rsid w:val="00BE15BA"/>
    <w:rsid w:val="00BE16FC"/>
    <w:rsid w:val="00BE1758"/>
    <w:rsid w:val="00BE19B8"/>
    <w:rsid w:val="00BE1F10"/>
    <w:rsid w:val="00BE2034"/>
    <w:rsid w:val="00BE25AB"/>
    <w:rsid w:val="00BE2C97"/>
    <w:rsid w:val="00BE33CA"/>
    <w:rsid w:val="00BE3710"/>
    <w:rsid w:val="00BE4153"/>
    <w:rsid w:val="00BE4315"/>
    <w:rsid w:val="00BE46D2"/>
    <w:rsid w:val="00BE48B7"/>
    <w:rsid w:val="00BE48D0"/>
    <w:rsid w:val="00BE48DE"/>
    <w:rsid w:val="00BE4E5B"/>
    <w:rsid w:val="00BE4EDC"/>
    <w:rsid w:val="00BE53A9"/>
    <w:rsid w:val="00BE5A0A"/>
    <w:rsid w:val="00BE5F3B"/>
    <w:rsid w:val="00BE6489"/>
    <w:rsid w:val="00BE7473"/>
    <w:rsid w:val="00BE7493"/>
    <w:rsid w:val="00BF0240"/>
    <w:rsid w:val="00BF13B8"/>
    <w:rsid w:val="00BF1D62"/>
    <w:rsid w:val="00BF20B9"/>
    <w:rsid w:val="00BF2117"/>
    <w:rsid w:val="00BF27D0"/>
    <w:rsid w:val="00BF2CF6"/>
    <w:rsid w:val="00BF320E"/>
    <w:rsid w:val="00BF342A"/>
    <w:rsid w:val="00BF3AD1"/>
    <w:rsid w:val="00BF3C4B"/>
    <w:rsid w:val="00BF3F5A"/>
    <w:rsid w:val="00BF5034"/>
    <w:rsid w:val="00BF5465"/>
    <w:rsid w:val="00BF54BB"/>
    <w:rsid w:val="00BF5A48"/>
    <w:rsid w:val="00BF5DA0"/>
    <w:rsid w:val="00BF5F38"/>
    <w:rsid w:val="00BF633A"/>
    <w:rsid w:val="00BF6514"/>
    <w:rsid w:val="00BF65D9"/>
    <w:rsid w:val="00BF6620"/>
    <w:rsid w:val="00BF676C"/>
    <w:rsid w:val="00BF7A7B"/>
    <w:rsid w:val="00C0037D"/>
    <w:rsid w:val="00C0094A"/>
    <w:rsid w:val="00C00AF4"/>
    <w:rsid w:val="00C00D83"/>
    <w:rsid w:val="00C01B97"/>
    <w:rsid w:val="00C01F7B"/>
    <w:rsid w:val="00C02EFE"/>
    <w:rsid w:val="00C03950"/>
    <w:rsid w:val="00C03961"/>
    <w:rsid w:val="00C03E31"/>
    <w:rsid w:val="00C03EC7"/>
    <w:rsid w:val="00C047C8"/>
    <w:rsid w:val="00C04803"/>
    <w:rsid w:val="00C05112"/>
    <w:rsid w:val="00C05604"/>
    <w:rsid w:val="00C05BDC"/>
    <w:rsid w:val="00C05DE3"/>
    <w:rsid w:val="00C05F40"/>
    <w:rsid w:val="00C06519"/>
    <w:rsid w:val="00C066F0"/>
    <w:rsid w:val="00C0735B"/>
    <w:rsid w:val="00C1197A"/>
    <w:rsid w:val="00C126CA"/>
    <w:rsid w:val="00C1274E"/>
    <w:rsid w:val="00C1275E"/>
    <w:rsid w:val="00C1278D"/>
    <w:rsid w:val="00C12AA4"/>
    <w:rsid w:val="00C12ECB"/>
    <w:rsid w:val="00C13409"/>
    <w:rsid w:val="00C1360E"/>
    <w:rsid w:val="00C13942"/>
    <w:rsid w:val="00C13DF5"/>
    <w:rsid w:val="00C13FA5"/>
    <w:rsid w:val="00C144D8"/>
    <w:rsid w:val="00C14597"/>
    <w:rsid w:val="00C14781"/>
    <w:rsid w:val="00C14953"/>
    <w:rsid w:val="00C14958"/>
    <w:rsid w:val="00C14FC2"/>
    <w:rsid w:val="00C154FD"/>
    <w:rsid w:val="00C15F9C"/>
    <w:rsid w:val="00C166A1"/>
    <w:rsid w:val="00C1710A"/>
    <w:rsid w:val="00C1724E"/>
    <w:rsid w:val="00C17270"/>
    <w:rsid w:val="00C17294"/>
    <w:rsid w:val="00C173E4"/>
    <w:rsid w:val="00C1768F"/>
    <w:rsid w:val="00C179A2"/>
    <w:rsid w:val="00C17D13"/>
    <w:rsid w:val="00C17D4B"/>
    <w:rsid w:val="00C17E01"/>
    <w:rsid w:val="00C206B1"/>
    <w:rsid w:val="00C20C27"/>
    <w:rsid w:val="00C20FFB"/>
    <w:rsid w:val="00C21377"/>
    <w:rsid w:val="00C21424"/>
    <w:rsid w:val="00C21507"/>
    <w:rsid w:val="00C21A53"/>
    <w:rsid w:val="00C21BF0"/>
    <w:rsid w:val="00C21C44"/>
    <w:rsid w:val="00C221D3"/>
    <w:rsid w:val="00C22A2E"/>
    <w:rsid w:val="00C22B86"/>
    <w:rsid w:val="00C22DFE"/>
    <w:rsid w:val="00C230D4"/>
    <w:rsid w:val="00C233DA"/>
    <w:rsid w:val="00C23785"/>
    <w:rsid w:val="00C24221"/>
    <w:rsid w:val="00C2461C"/>
    <w:rsid w:val="00C24817"/>
    <w:rsid w:val="00C249F7"/>
    <w:rsid w:val="00C24AF2"/>
    <w:rsid w:val="00C24EEB"/>
    <w:rsid w:val="00C252F5"/>
    <w:rsid w:val="00C25895"/>
    <w:rsid w:val="00C25A7A"/>
    <w:rsid w:val="00C25F22"/>
    <w:rsid w:val="00C26682"/>
    <w:rsid w:val="00C26FAD"/>
    <w:rsid w:val="00C272ED"/>
    <w:rsid w:val="00C276A6"/>
    <w:rsid w:val="00C27DA3"/>
    <w:rsid w:val="00C27EA3"/>
    <w:rsid w:val="00C27FBC"/>
    <w:rsid w:val="00C305F3"/>
    <w:rsid w:val="00C3084A"/>
    <w:rsid w:val="00C31585"/>
    <w:rsid w:val="00C3167E"/>
    <w:rsid w:val="00C320C8"/>
    <w:rsid w:val="00C32CA8"/>
    <w:rsid w:val="00C3322E"/>
    <w:rsid w:val="00C33366"/>
    <w:rsid w:val="00C33883"/>
    <w:rsid w:val="00C33A35"/>
    <w:rsid w:val="00C33A78"/>
    <w:rsid w:val="00C344BE"/>
    <w:rsid w:val="00C34A13"/>
    <w:rsid w:val="00C34D76"/>
    <w:rsid w:val="00C34F7D"/>
    <w:rsid w:val="00C351CD"/>
    <w:rsid w:val="00C35F4D"/>
    <w:rsid w:val="00C3612F"/>
    <w:rsid w:val="00C36B93"/>
    <w:rsid w:val="00C36BC8"/>
    <w:rsid w:val="00C36F1C"/>
    <w:rsid w:val="00C37C05"/>
    <w:rsid w:val="00C37E6B"/>
    <w:rsid w:val="00C37FBF"/>
    <w:rsid w:val="00C406EC"/>
    <w:rsid w:val="00C40710"/>
    <w:rsid w:val="00C4074A"/>
    <w:rsid w:val="00C40919"/>
    <w:rsid w:val="00C409EC"/>
    <w:rsid w:val="00C40C8E"/>
    <w:rsid w:val="00C40D80"/>
    <w:rsid w:val="00C40EA9"/>
    <w:rsid w:val="00C40F34"/>
    <w:rsid w:val="00C41ACB"/>
    <w:rsid w:val="00C42993"/>
    <w:rsid w:val="00C42AA7"/>
    <w:rsid w:val="00C42EFA"/>
    <w:rsid w:val="00C43467"/>
    <w:rsid w:val="00C43858"/>
    <w:rsid w:val="00C442F9"/>
    <w:rsid w:val="00C44616"/>
    <w:rsid w:val="00C44960"/>
    <w:rsid w:val="00C44CB0"/>
    <w:rsid w:val="00C4607F"/>
    <w:rsid w:val="00C46555"/>
    <w:rsid w:val="00C469FE"/>
    <w:rsid w:val="00C46B1A"/>
    <w:rsid w:val="00C46ECB"/>
    <w:rsid w:val="00C47341"/>
    <w:rsid w:val="00C474E9"/>
    <w:rsid w:val="00C4780B"/>
    <w:rsid w:val="00C47CC6"/>
    <w:rsid w:val="00C502FC"/>
    <w:rsid w:val="00C502FE"/>
    <w:rsid w:val="00C50F9E"/>
    <w:rsid w:val="00C51056"/>
    <w:rsid w:val="00C5177E"/>
    <w:rsid w:val="00C5188B"/>
    <w:rsid w:val="00C51C40"/>
    <w:rsid w:val="00C51DF5"/>
    <w:rsid w:val="00C528BE"/>
    <w:rsid w:val="00C52DAC"/>
    <w:rsid w:val="00C53742"/>
    <w:rsid w:val="00C54033"/>
    <w:rsid w:val="00C5422F"/>
    <w:rsid w:val="00C5427D"/>
    <w:rsid w:val="00C54438"/>
    <w:rsid w:val="00C5492B"/>
    <w:rsid w:val="00C5505D"/>
    <w:rsid w:val="00C552AD"/>
    <w:rsid w:val="00C5548A"/>
    <w:rsid w:val="00C558BC"/>
    <w:rsid w:val="00C55CE9"/>
    <w:rsid w:val="00C55E4B"/>
    <w:rsid w:val="00C567BE"/>
    <w:rsid w:val="00C572C5"/>
    <w:rsid w:val="00C57591"/>
    <w:rsid w:val="00C5767B"/>
    <w:rsid w:val="00C6020B"/>
    <w:rsid w:val="00C605B2"/>
    <w:rsid w:val="00C6066C"/>
    <w:rsid w:val="00C609A9"/>
    <w:rsid w:val="00C60A83"/>
    <w:rsid w:val="00C60DB1"/>
    <w:rsid w:val="00C6138D"/>
    <w:rsid w:val="00C618D4"/>
    <w:rsid w:val="00C618EF"/>
    <w:rsid w:val="00C61B85"/>
    <w:rsid w:val="00C61B95"/>
    <w:rsid w:val="00C6209D"/>
    <w:rsid w:val="00C6223F"/>
    <w:rsid w:val="00C62423"/>
    <w:rsid w:val="00C624C5"/>
    <w:rsid w:val="00C6373C"/>
    <w:rsid w:val="00C63A72"/>
    <w:rsid w:val="00C63B13"/>
    <w:rsid w:val="00C64BF4"/>
    <w:rsid w:val="00C64C10"/>
    <w:rsid w:val="00C651F7"/>
    <w:rsid w:val="00C652F2"/>
    <w:rsid w:val="00C655CF"/>
    <w:rsid w:val="00C657C9"/>
    <w:rsid w:val="00C6599C"/>
    <w:rsid w:val="00C659DD"/>
    <w:rsid w:val="00C65A22"/>
    <w:rsid w:val="00C661B4"/>
    <w:rsid w:val="00C662A3"/>
    <w:rsid w:val="00C66A41"/>
    <w:rsid w:val="00C66AE4"/>
    <w:rsid w:val="00C67B8A"/>
    <w:rsid w:val="00C67EBA"/>
    <w:rsid w:val="00C67EE6"/>
    <w:rsid w:val="00C707C4"/>
    <w:rsid w:val="00C70A01"/>
    <w:rsid w:val="00C70E79"/>
    <w:rsid w:val="00C717C1"/>
    <w:rsid w:val="00C71D71"/>
    <w:rsid w:val="00C71DE9"/>
    <w:rsid w:val="00C71F23"/>
    <w:rsid w:val="00C72114"/>
    <w:rsid w:val="00C725B6"/>
    <w:rsid w:val="00C728E9"/>
    <w:rsid w:val="00C729C9"/>
    <w:rsid w:val="00C72AC2"/>
    <w:rsid w:val="00C72CC9"/>
    <w:rsid w:val="00C7372D"/>
    <w:rsid w:val="00C73BE9"/>
    <w:rsid w:val="00C73CC3"/>
    <w:rsid w:val="00C73D63"/>
    <w:rsid w:val="00C73EDA"/>
    <w:rsid w:val="00C749C1"/>
    <w:rsid w:val="00C74B92"/>
    <w:rsid w:val="00C75331"/>
    <w:rsid w:val="00C753C6"/>
    <w:rsid w:val="00C760A5"/>
    <w:rsid w:val="00C771BD"/>
    <w:rsid w:val="00C774E6"/>
    <w:rsid w:val="00C80428"/>
    <w:rsid w:val="00C80588"/>
    <w:rsid w:val="00C80920"/>
    <w:rsid w:val="00C80CC2"/>
    <w:rsid w:val="00C81024"/>
    <w:rsid w:val="00C815A0"/>
    <w:rsid w:val="00C82567"/>
    <w:rsid w:val="00C8264B"/>
    <w:rsid w:val="00C82E88"/>
    <w:rsid w:val="00C8373B"/>
    <w:rsid w:val="00C83865"/>
    <w:rsid w:val="00C83E8A"/>
    <w:rsid w:val="00C83FED"/>
    <w:rsid w:val="00C8402D"/>
    <w:rsid w:val="00C847B8"/>
    <w:rsid w:val="00C8498F"/>
    <w:rsid w:val="00C84C29"/>
    <w:rsid w:val="00C84DE1"/>
    <w:rsid w:val="00C85888"/>
    <w:rsid w:val="00C85E1B"/>
    <w:rsid w:val="00C8645A"/>
    <w:rsid w:val="00C8696B"/>
    <w:rsid w:val="00C86C52"/>
    <w:rsid w:val="00C87F87"/>
    <w:rsid w:val="00C9046A"/>
    <w:rsid w:val="00C9059D"/>
    <w:rsid w:val="00C9122F"/>
    <w:rsid w:val="00C914CC"/>
    <w:rsid w:val="00C91ECF"/>
    <w:rsid w:val="00C920E6"/>
    <w:rsid w:val="00C926F3"/>
    <w:rsid w:val="00C92713"/>
    <w:rsid w:val="00C92A05"/>
    <w:rsid w:val="00C92EAC"/>
    <w:rsid w:val="00C92F29"/>
    <w:rsid w:val="00C931E0"/>
    <w:rsid w:val="00C931E7"/>
    <w:rsid w:val="00C9340A"/>
    <w:rsid w:val="00C93611"/>
    <w:rsid w:val="00C93E16"/>
    <w:rsid w:val="00C944C7"/>
    <w:rsid w:val="00C94666"/>
    <w:rsid w:val="00C946BF"/>
    <w:rsid w:val="00C9478A"/>
    <w:rsid w:val="00C94C72"/>
    <w:rsid w:val="00C94E87"/>
    <w:rsid w:val="00C95C87"/>
    <w:rsid w:val="00C95D39"/>
    <w:rsid w:val="00C96AD0"/>
    <w:rsid w:val="00C96DAC"/>
    <w:rsid w:val="00C97011"/>
    <w:rsid w:val="00C9729B"/>
    <w:rsid w:val="00C97363"/>
    <w:rsid w:val="00C97B44"/>
    <w:rsid w:val="00CA043D"/>
    <w:rsid w:val="00CA0DAB"/>
    <w:rsid w:val="00CA11BE"/>
    <w:rsid w:val="00CA242A"/>
    <w:rsid w:val="00CA243B"/>
    <w:rsid w:val="00CA3781"/>
    <w:rsid w:val="00CA394C"/>
    <w:rsid w:val="00CA40E2"/>
    <w:rsid w:val="00CA411F"/>
    <w:rsid w:val="00CA4A13"/>
    <w:rsid w:val="00CA4AC6"/>
    <w:rsid w:val="00CA5CC3"/>
    <w:rsid w:val="00CA5CC5"/>
    <w:rsid w:val="00CA6084"/>
    <w:rsid w:val="00CA6247"/>
    <w:rsid w:val="00CA6F00"/>
    <w:rsid w:val="00CA7644"/>
    <w:rsid w:val="00CA768E"/>
    <w:rsid w:val="00CA79A4"/>
    <w:rsid w:val="00CA7F46"/>
    <w:rsid w:val="00CB00D7"/>
    <w:rsid w:val="00CB01BB"/>
    <w:rsid w:val="00CB050E"/>
    <w:rsid w:val="00CB06D2"/>
    <w:rsid w:val="00CB06D3"/>
    <w:rsid w:val="00CB09DE"/>
    <w:rsid w:val="00CB1368"/>
    <w:rsid w:val="00CB1983"/>
    <w:rsid w:val="00CB1ECA"/>
    <w:rsid w:val="00CB2387"/>
    <w:rsid w:val="00CB28B6"/>
    <w:rsid w:val="00CB2A8D"/>
    <w:rsid w:val="00CB2D99"/>
    <w:rsid w:val="00CB2E67"/>
    <w:rsid w:val="00CB30BA"/>
    <w:rsid w:val="00CB316B"/>
    <w:rsid w:val="00CB3349"/>
    <w:rsid w:val="00CB3692"/>
    <w:rsid w:val="00CB41B6"/>
    <w:rsid w:val="00CB5872"/>
    <w:rsid w:val="00CB6676"/>
    <w:rsid w:val="00CB6A2B"/>
    <w:rsid w:val="00CB6BCF"/>
    <w:rsid w:val="00CB6FD3"/>
    <w:rsid w:val="00CB76A0"/>
    <w:rsid w:val="00CC0611"/>
    <w:rsid w:val="00CC1254"/>
    <w:rsid w:val="00CC172D"/>
    <w:rsid w:val="00CC1C33"/>
    <w:rsid w:val="00CC204C"/>
    <w:rsid w:val="00CC237A"/>
    <w:rsid w:val="00CC23E8"/>
    <w:rsid w:val="00CC25A5"/>
    <w:rsid w:val="00CC27A6"/>
    <w:rsid w:val="00CC2B30"/>
    <w:rsid w:val="00CC2F79"/>
    <w:rsid w:val="00CC30D9"/>
    <w:rsid w:val="00CC315B"/>
    <w:rsid w:val="00CC33C2"/>
    <w:rsid w:val="00CC3480"/>
    <w:rsid w:val="00CC356D"/>
    <w:rsid w:val="00CC3AE2"/>
    <w:rsid w:val="00CC3F83"/>
    <w:rsid w:val="00CC4815"/>
    <w:rsid w:val="00CC504A"/>
    <w:rsid w:val="00CC50FC"/>
    <w:rsid w:val="00CC5844"/>
    <w:rsid w:val="00CC5918"/>
    <w:rsid w:val="00CC5CFC"/>
    <w:rsid w:val="00CC5D75"/>
    <w:rsid w:val="00CC655C"/>
    <w:rsid w:val="00CC6768"/>
    <w:rsid w:val="00CC6A9C"/>
    <w:rsid w:val="00CC6EF4"/>
    <w:rsid w:val="00CC7197"/>
    <w:rsid w:val="00CC732A"/>
    <w:rsid w:val="00CD0097"/>
    <w:rsid w:val="00CD014B"/>
    <w:rsid w:val="00CD0224"/>
    <w:rsid w:val="00CD022D"/>
    <w:rsid w:val="00CD0462"/>
    <w:rsid w:val="00CD0519"/>
    <w:rsid w:val="00CD07AF"/>
    <w:rsid w:val="00CD2403"/>
    <w:rsid w:val="00CD3DAE"/>
    <w:rsid w:val="00CD4070"/>
    <w:rsid w:val="00CD46F9"/>
    <w:rsid w:val="00CD561E"/>
    <w:rsid w:val="00CD56CF"/>
    <w:rsid w:val="00CD56E4"/>
    <w:rsid w:val="00CD5E62"/>
    <w:rsid w:val="00CD5EFB"/>
    <w:rsid w:val="00CD6DFE"/>
    <w:rsid w:val="00CD7157"/>
    <w:rsid w:val="00CD79B4"/>
    <w:rsid w:val="00CD7B7E"/>
    <w:rsid w:val="00CE005F"/>
    <w:rsid w:val="00CE05A1"/>
    <w:rsid w:val="00CE077F"/>
    <w:rsid w:val="00CE0E9B"/>
    <w:rsid w:val="00CE132B"/>
    <w:rsid w:val="00CE1597"/>
    <w:rsid w:val="00CE15D2"/>
    <w:rsid w:val="00CE17CF"/>
    <w:rsid w:val="00CE1990"/>
    <w:rsid w:val="00CE1A3E"/>
    <w:rsid w:val="00CE1B30"/>
    <w:rsid w:val="00CE1D5B"/>
    <w:rsid w:val="00CE2018"/>
    <w:rsid w:val="00CE2592"/>
    <w:rsid w:val="00CE297A"/>
    <w:rsid w:val="00CE2FCF"/>
    <w:rsid w:val="00CE405C"/>
    <w:rsid w:val="00CE4098"/>
    <w:rsid w:val="00CE40C8"/>
    <w:rsid w:val="00CE4237"/>
    <w:rsid w:val="00CE4DAC"/>
    <w:rsid w:val="00CE50F5"/>
    <w:rsid w:val="00CE5A0D"/>
    <w:rsid w:val="00CE605E"/>
    <w:rsid w:val="00CE6515"/>
    <w:rsid w:val="00CE67C3"/>
    <w:rsid w:val="00CE7A1E"/>
    <w:rsid w:val="00CE7FB2"/>
    <w:rsid w:val="00CE7FBA"/>
    <w:rsid w:val="00CE7FE2"/>
    <w:rsid w:val="00CF0364"/>
    <w:rsid w:val="00CF06F2"/>
    <w:rsid w:val="00CF0C90"/>
    <w:rsid w:val="00CF0C93"/>
    <w:rsid w:val="00CF190A"/>
    <w:rsid w:val="00CF226E"/>
    <w:rsid w:val="00CF23C9"/>
    <w:rsid w:val="00CF2819"/>
    <w:rsid w:val="00CF31A9"/>
    <w:rsid w:val="00CF3307"/>
    <w:rsid w:val="00CF335C"/>
    <w:rsid w:val="00CF33CA"/>
    <w:rsid w:val="00CF35F7"/>
    <w:rsid w:val="00CF450C"/>
    <w:rsid w:val="00CF469E"/>
    <w:rsid w:val="00CF4E90"/>
    <w:rsid w:val="00CF4F03"/>
    <w:rsid w:val="00CF57BD"/>
    <w:rsid w:val="00CF6507"/>
    <w:rsid w:val="00CF68BA"/>
    <w:rsid w:val="00CF6DB6"/>
    <w:rsid w:val="00CF71D9"/>
    <w:rsid w:val="00CF77A4"/>
    <w:rsid w:val="00CF77F9"/>
    <w:rsid w:val="00CF7FD6"/>
    <w:rsid w:val="00D0037B"/>
    <w:rsid w:val="00D00F34"/>
    <w:rsid w:val="00D01562"/>
    <w:rsid w:val="00D01D85"/>
    <w:rsid w:val="00D01DDB"/>
    <w:rsid w:val="00D02166"/>
    <w:rsid w:val="00D021D0"/>
    <w:rsid w:val="00D02881"/>
    <w:rsid w:val="00D02CBC"/>
    <w:rsid w:val="00D03611"/>
    <w:rsid w:val="00D036DB"/>
    <w:rsid w:val="00D037AA"/>
    <w:rsid w:val="00D03A3A"/>
    <w:rsid w:val="00D041DC"/>
    <w:rsid w:val="00D044F2"/>
    <w:rsid w:val="00D04CB1"/>
    <w:rsid w:val="00D0517F"/>
    <w:rsid w:val="00D052CA"/>
    <w:rsid w:val="00D055B3"/>
    <w:rsid w:val="00D0577C"/>
    <w:rsid w:val="00D05A0F"/>
    <w:rsid w:val="00D05D97"/>
    <w:rsid w:val="00D06093"/>
    <w:rsid w:val="00D064DA"/>
    <w:rsid w:val="00D065D2"/>
    <w:rsid w:val="00D06637"/>
    <w:rsid w:val="00D077E2"/>
    <w:rsid w:val="00D11194"/>
    <w:rsid w:val="00D11A4B"/>
    <w:rsid w:val="00D11A69"/>
    <w:rsid w:val="00D11E17"/>
    <w:rsid w:val="00D11E25"/>
    <w:rsid w:val="00D12450"/>
    <w:rsid w:val="00D12ACD"/>
    <w:rsid w:val="00D13701"/>
    <w:rsid w:val="00D13783"/>
    <w:rsid w:val="00D1399B"/>
    <w:rsid w:val="00D13C14"/>
    <w:rsid w:val="00D13C84"/>
    <w:rsid w:val="00D13D34"/>
    <w:rsid w:val="00D13E38"/>
    <w:rsid w:val="00D13E66"/>
    <w:rsid w:val="00D140E9"/>
    <w:rsid w:val="00D14169"/>
    <w:rsid w:val="00D148F7"/>
    <w:rsid w:val="00D14C98"/>
    <w:rsid w:val="00D14EC3"/>
    <w:rsid w:val="00D14EC5"/>
    <w:rsid w:val="00D156C1"/>
    <w:rsid w:val="00D157D8"/>
    <w:rsid w:val="00D15DC5"/>
    <w:rsid w:val="00D15E0C"/>
    <w:rsid w:val="00D15E80"/>
    <w:rsid w:val="00D16435"/>
    <w:rsid w:val="00D16862"/>
    <w:rsid w:val="00D1687C"/>
    <w:rsid w:val="00D16E84"/>
    <w:rsid w:val="00D16EEE"/>
    <w:rsid w:val="00D17022"/>
    <w:rsid w:val="00D1752D"/>
    <w:rsid w:val="00D175FB"/>
    <w:rsid w:val="00D17D62"/>
    <w:rsid w:val="00D17FA5"/>
    <w:rsid w:val="00D20920"/>
    <w:rsid w:val="00D20B95"/>
    <w:rsid w:val="00D20B9A"/>
    <w:rsid w:val="00D20DE5"/>
    <w:rsid w:val="00D2157A"/>
    <w:rsid w:val="00D218E1"/>
    <w:rsid w:val="00D21DB0"/>
    <w:rsid w:val="00D2216A"/>
    <w:rsid w:val="00D22553"/>
    <w:rsid w:val="00D22D17"/>
    <w:rsid w:val="00D22E41"/>
    <w:rsid w:val="00D231D5"/>
    <w:rsid w:val="00D233A9"/>
    <w:rsid w:val="00D23A2C"/>
    <w:rsid w:val="00D247E8"/>
    <w:rsid w:val="00D26918"/>
    <w:rsid w:val="00D2701E"/>
    <w:rsid w:val="00D2718C"/>
    <w:rsid w:val="00D27421"/>
    <w:rsid w:val="00D27532"/>
    <w:rsid w:val="00D27C48"/>
    <w:rsid w:val="00D3051B"/>
    <w:rsid w:val="00D30839"/>
    <w:rsid w:val="00D30D61"/>
    <w:rsid w:val="00D3134F"/>
    <w:rsid w:val="00D31C5A"/>
    <w:rsid w:val="00D31E03"/>
    <w:rsid w:val="00D320DF"/>
    <w:rsid w:val="00D321A4"/>
    <w:rsid w:val="00D32429"/>
    <w:rsid w:val="00D32628"/>
    <w:rsid w:val="00D33100"/>
    <w:rsid w:val="00D33C62"/>
    <w:rsid w:val="00D33CA6"/>
    <w:rsid w:val="00D33E26"/>
    <w:rsid w:val="00D3417C"/>
    <w:rsid w:val="00D3428D"/>
    <w:rsid w:val="00D343F1"/>
    <w:rsid w:val="00D34712"/>
    <w:rsid w:val="00D34862"/>
    <w:rsid w:val="00D34984"/>
    <w:rsid w:val="00D34E70"/>
    <w:rsid w:val="00D352A4"/>
    <w:rsid w:val="00D357D2"/>
    <w:rsid w:val="00D35C5A"/>
    <w:rsid w:val="00D3675F"/>
    <w:rsid w:val="00D36E2B"/>
    <w:rsid w:val="00D36E39"/>
    <w:rsid w:val="00D37870"/>
    <w:rsid w:val="00D37A44"/>
    <w:rsid w:val="00D37E08"/>
    <w:rsid w:val="00D37EB7"/>
    <w:rsid w:val="00D37F1A"/>
    <w:rsid w:val="00D404CA"/>
    <w:rsid w:val="00D405D4"/>
    <w:rsid w:val="00D4078D"/>
    <w:rsid w:val="00D408D3"/>
    <w:rsid w:val="00D40B75"/>
    <w:rsid w:val="00D40F29"/>
    <w:rsid w:val="00D40F57"/>
    <w:rsid w:val="00D42339"/>
    <w:rsid w:val="00D4234F"/>
    <w:rsid w:val="00D427E9"/>
    <w:rsid w:val="00D42A3B"/>
    <w:rsid w:val="00D448EC"/>
    <w:rsid w:val="00D44946"/>
    <w:rsid w:val="00D45297"/>
    <w:rsid w:val="00D456B1"/>
    <w:rsid w:val="00D461E4"/>
    <w:rsid w:val="00D464C3"/>
    <w:rsid w:val="00D4666E"/>
    <w:rsid w:val="00D46BDF"/>
    <w:rsid w:val="00D470B5"/>
    <w:rsid w:val="00D47335"/>
    <w:rsid w:val="00D4770C"/>
    <w:rsid w:val="00D47859"/>
    <w:rsid w:val="00D478BF"/>
    <w:rsid w:val="00D47A88"/>
    <w:rsid w:val="00D47B7C"/>
    <w:rsid w:val="00D47FE7"/>
    <w:rsid w:val="00D501DF"/>
    <w:rsid w:val="00D5034E"/>
    <w:rsid w:val="00D51057"/>
    <w:rsid w:val="00D5115C"/>
    <w:rsid w:val="00D51DDC"/>
    <w:rsid w:val="00D51FAD"/>
    <w:rsid w:val="00D52121"/>
    <w:rsid w:val="00D522F0"/>
    <w:rsid w:val="00D52419"/>
    <w:rsid w:val="00D52B1B"/>
    <w:rsid w:val="00D5385D"/>
    <w:rsid w:val="00D539A9"/>
    <w:rsid w:val="00D53C41"/>
    <w:rsid w:val="00D5404B"/>
    <w:rsid w:val="00D54167"/>
    <w:rsid w:val="00D543FE"/>
    <w:rsid w:val="00D5446A"/>
    <w:rsid w:val="00D54675"/>
    <w:rsid w:val="00D54743"/>
    <w:rsid w:val="00D552A6"/>
    <w:rsid w:val="00D5538E"/>
    <w:rsid w:val="00D55FC4"/>
    <w:rsid w:val="00D56364"/>
    <w:rsid w:val="00D563A1"/>
    <w:rsid w:val="00D56697"/>
    <w:rsid w:val="00D56D51"/>
    <w:rsid w:val="00D56EE7"/>
    <w:rsid w:val="00D57820"/>
    <w:rsid w:val="00D60326"/>
    <w:rsid w:val="00D60955"/>
    <w:rsid w:val="00D6140E"/>
    <w:rsid w:val="00D6184F"/>
    <w:rsid w:val="00D61B97"/>
    <w:rsid w:val="00D61EB1"/>
    <w:rsid w:val="00D6221A"/>
    <w:rsid w:val="00D6227A"/>
    <w:rsid w:val="00D62407"/>
    <w:rsid w:val="00D630F3"/>
    <w:rsid w:val="00D632BA"/>
    <w:rsid w:val="00D63439"/>
    <w:rsid w:val="00D63744"/>
    <w:rsid w:val="00D647C7"/>
    <w:rsid w:val="00D64D94"/>
    <w:rsid w:val="00D6529C"/>
    <w:rsid w:val="00D65CB4"/>
    <w:rsid w:val="00D65DCB"/>
    <w:rsid w:val="00D65FD2"/>
    <w:rsid w:val="00D66072"/>
    <w:rsid w:val="00D6659F"/>
    <w:rsid w:val="00D66907"/>
    <w:rsid w:val="00D672BF"/>
    <w:rsid w:val="00D673F2"/>
    <w:rsid w:val="00D67B67"/>
    <w:rsid w:val="00D67C2A"/>
    <w:rsid w:val="00D67DBA"/>
    <w:rsid w:val="00D70916"/>
    <w:rsid w:val="00D70E66"/>
    <w:rsid w:val="00D70FD0"/>
    <w:rsid w:val="00D71102"/>
    <w:rsid w:val="00D71594"/>
    <w:rsid w:val="00D7212C"/>
    <w:rsid w:val="00D72A84"/>
    <w:rsid w:val="00D72DCF"/>
    <w:rsid w:val="00D72E4F"/>
    <w:rsid w:val="00D7310E"/>
    <w:rsid w:val="00D7399D"/>
    <w:rsid w:val="00D739B4"/>
    <w:rsid w:val="00D73F13"/>
    <w:rsid w:val="00D74AC4"/>
    <w:rsid w:val="00D74AEA"/>
    <w:rsid w:val="00D74CBF"/>
    <w:rsid w:val="00D751DA"/>
    <w:rsid w:val="00D75678"/>
    <w:rsid w:val="00D76559"/>
    <w:rsid w:val="00D765E1"/>
    <w:rsid w:val="00D769EE"/>
    <w:rsid w:val="00D77219"/>
    <w:rsid w:val="00D77517"/>
    <w:rsid w:val="00D77B48"/>
    <w:rsid w:val="00D77C60"/>
    <w:rsid w:val="00D77CBF"/>
    <w:rsid w:val="00D8057F"/>
    <w:rsid w:val="00D81006"/>
    <w:rsid w:val="00D81387"/>
    <w:rsid w:val="00D8161E"/>
    <w:rsid w:val="00D817BC"/>
    <w:rsid w:val="00D81AF5"/>
    <w:rsid w:val="00D82134"/>
    <w:rsid w:val="00D838B9"/>
    <w:rsid w:val="00D83959"/>
    <w:rsid w:val="00D842A3"/>
    <w:rsid w:val="00D844C5"/>
    <w:rsid w:val="00D84CE6"/>
    <w:rsid w:val="00D84E98"/>
    <w:rsid w:val="00D8567C"/>
    <w:rsid w:val="00D86B21"/>
    <w:rsid w:val="00D8722C"/>
    <w:rsid w:val="00D875A8"/>
    <w:rsid w:val="00D90665"/>
    <w:rsid w:val="00D90837"/>
    <w:rsid w:val="00D90C2B"/>
    <w:rsid w:val="00D90E8B"/>
    <w:rsid w:val="00D911D0"/>
    <w:rsid w:val="00D91BAA"/>
    <w:rsid w:val="00D91C7A"/>
    <w:rsid w:val="00D91F7E"/>
    <w:rsid w:val="00D92218"/>
    <w:rsid w:val="00D929AE"/>
    <w:rsid w:val="00D939CE"/>
    <w:rsid w:val="00D93F4D"/>
    <w:rsid w:val="00D9470F"/>
    <w:rsid w:val="00D94F59"/>
    <w:rsid w:val="00D953E3"/>
    <w:rsid w:val="00D95E63"/>
    <w:rsid w:val="00D97425"/>
    <w:rsid w:val="00D974F6"/>
    <w:rsid w:val="00DA0987"/>
    <w:rsid w:val="00DA0E61"/>
    <w:rsid w:val="00DA13A5"/>
    <w:rsid w:val="00DA17BA"/>
    <w:rsid w:val="00DA1B90"/>
    <w:rsid w:val="00DA1E27"/>
    <w:rsid w:val="00DA1FB9"/>
    <w:rsid w:val="00DA2029"/>
    <w:rsid w:val="00DA28ED"/>
    <w:rsid w:val="00DA2B16"/>
    <w:rsid w:val="00DA342C"/>
    <w:rsid w:val="00DA34D7"/>
    <w:rsid w:val="00DA3622"/>
    <w:rsid w:val="00DA36DF"/>
    <w:rsid w:val="00DA37D8"/>
    <w:rsid w:val="00DA38BA"/>
    <w:rsid w:val="00DA3A29"/>
    <w:rsid w:val="00DA3BE1"/>
    <w:rsid w:val="00DA3F99"/>
    <w:rsid w:val="00DA4082"/>
    <w:rsid w:val="00DA447A"/>
    <w:rsid w:val="00DA47B2"/>
    <w:rsid w:val="00DA5C88"/>
    <w:rsid w:val="00DA5D16"/>
    <w:rsid w:val="00DA5F3F"/>
    <w:rsid w:val="00DA5FA9"/>
    <w:rsid w:val="00DA65D9"/>
    <w:rsid w:val="00DA6B35"/>
    <w:rsid w:val="00DA6C59"/>
    <w:rsid w:val="00DA6C8F"/>
    <w:rsid w:val="00DA6E60"/>
    <w:rsid w:val="00DA7377"/>
    <w:rsid w:val="00DA7694"/>
    <w:rsid w:val="00DA7944"/>
    <w:rsid w:val="00DA796C"/>
    <w:rsid w:val="00DA7ADD"/>
    <w:rsid w:val="00DA7CEE"/>
    <w:rsid w:val="00DA7E81"/>
    <w:rsid w:val="00DA7FB1"/>
    <w:rsid w:val="00DB0154"/>
    <w:rsid w:val="00DB0615"/>
    <w:rsid w:val="00DB0B94"/>
    <w:rsid w:val="00DB10C1"/>
    <w:rsid w:val="00DB1808"/>
    <w:rsid w:val="00DB1AF2"/>
    <w:rsid w:val="00DB1E3A"/>
    <w:rsid w:val="00DB20C5"/>
    <w:rsid w:val="00DB254D"/>
    <w:rsid w:val="00DB25A9"/>
    <w:rsid w:val="00DB2633"/>
    <w:rsid w:val="00DB34AE"/>
    <w:rsid w:val="00DB3E5C"/>
    <w:rsid w:val="00DB442B"/>
    <w:rsid w:val="00DB45FE"/>
    <w:rsid w:val="00DB4A43"/>
    <w:rsid w:val="00DB5E9B"/>
    <w:rsid w:val="00DB60DF"/>
    <w:rsid w:val="00DB6234"/>
    <w:rsid w:val="00DB65C0"/>
    <w:rsid w:val="00DB699A"/>
    <w:rsid w:val="00DB7050"/>
    <w:rsid w:val="00DB76E3"/>
    <w:rsid w:val="00DB771F"/>
    <w:rsid w:val="00DB7AE8"/>
    <w:rsid w:val="00DC0040"/>
    <w:rsid w:val="00DC0668"/>
    <w:rsid w:val="00DC0A33"/>
    <w:rsid w:val="00DC105E"/>
    <w:rsid w:val="00DC11F8"/>
    <w:rsid w:val="00DC1969"/>
    <w:rsid w:val="00DC1A2F"/>
    <w:rsid w:val="00DC1A30"/>
    <w:rsid w:val="00DC1FA6"/>
    <w:rsid w:val="00DC28EA"/>
    <w:rsid w:val="00DC4042"/>
    <w:rsid w:val="00DC40B5"/>
    <w:rsid w:val="00DC42EC"/>
    <w:rsid w:val="00DC4CF0"/>
    <w:rsid w:val="00DC4E30"/>
    <w:rsid w:val="00DC54A5"/>
    <w:rsid w:val="00DC5C32"/>
    <w:rsid w:val="00DC5E5C"/>
    <w:rsid w:val="00DC6646"/>
    <w:rsid w:val="00DC6797"/>
    <w:rsid w:val="00DC6A97"/>
    <w:rsid w:val="00DC6DFE"/>
    <w:rsid w:val="00DC6E5A"/>
    <w:rsid w:val="00DC6F00"/>
    <w:rsid w:val="00DC7891"/>
    <w:rsid w:val="00DC7BC0"/>
    <w:rsid w:val="00DC7CF1"/>
    <w:rsid w:val="00DD01D5"/>
    <w:rsid w:val="00DD0687"/>
    <w:rsid w:val="00DD19B0"/>
    <w:rsid w:val="00DD1B5E"/>
    <w:rsid w:val="00DD1F6E"/>
    <w:rsid w:val="00DD2620"/>
    <w:rsid w:val="00DD27E8"/>
    <w:rsid w:val="00DD2A45"/>
    <w:rsid w:val="00DD3062"/>
    <w:rsid w:val="00DD31B5"/>
    <w:rsid w:val="00DD3429"/>
    <w:rsid w:val="00DD36D4"/>
    <w:rsid w:val="00DD3BB0"/>
    <w:rsid w:val="00DD3CAF"/>
    <w:rsid w:val="00DD4045"/>
    <w:rsid w:val="00DD424E"/>
    <w:rsid w:val="00DD4CD8"/>
    <w:rsid w:val="00DD53E4"/>
    <w:rsid w:val="00DD56D7"/>
    <w:rsid w:val="00DD5FCC"/>
    <w:rsid w:val="00DD6D3B"/>
    <w:rsid w:val="00DD6F84"/>
    <w:rsid w:val="00DD7289"/>
    <w:rsid w:val="00DD72DF"/>
    <w:rsid w:val="00DD746E"/>
    <w:rsid w:val="00DD773C"/>
    <w:rsid w:val="00DD775D"/>
    <w:rsid w:val="00DD7AE9"/>
    <w:rsid w:val="00DD7DAE"/>
    <w:rsid w:val="00DD7FC1"/>
    <w:rsid w:val="00DE08CD"/>
    <w:rsid w:val="00DE0B3C"/>
    <w:rsid w:val="00DE1C89"/>
    <w:rsid w:val="00DE1C8B"/>
    <w:rsid w:val="00DE1FBF"/>
    <w:rsid w:val="00DE20A0"/>
    <w:rsid w:val="00DE210E"/>
    <w:rsid w:val="00DE2494"/>
    <w:rsid w:val="00DE25E7"/>
    <w:rsid w:val="00DE2D7F"/>
    <w:rsid w:val="00DE2E8E"/>
    <w:rsid w:val="00DE3AD5"/>
    <w:rsid w:val="00DE422C"/>
    <w:rsid w:val="00DE42F0"/>
    <w:rsid w:val="00DE5305"/>
    <w:rsid w:val="00DE58D4"/>
    <w:rsid w:val="00DE5905"/>
    <w:rsid w:val="00DE608D"/>
    <w:rsid w:val="00DE639B"/>
    <w:rsid w:val="00DE702D"/>
    <w:rsid w:val="00DE753C"/>
    <w:rsid w:val="00DF0113"/>
    <w:rsid w:val="00DF05CB"/>
    <w:rsid w:val="00DF18D3"/>
    <w:rsid w:val="00DF1EF8"/>
    <w:rsid w:val="00DF26BD"/>
    <w:rsid w:val="00DF2795"/>
    <w:rsid w:val="00DF284B"/>
    <w:rsid w:val="00DF288B"/>
    <w:rsid w:val="00DF2FC5"/>
    <w:rsid w:val="00DF32DA"/>
    <w:rsid w:val="00DF3963"/>
    <w:rsid w:val="00DF3EBE"/>
    <w:rsid w:val="00DF4024"/>
    <w:rsid w:val="00DF4B50"/>
    <w:rsid w:val="00DF5119"/>
    <w:rsid w:val="00DF5477"/>
    <w:rsid w:val="00DF56B2"/>
    <w:rsid w:val="00DF5EFD"/>
    <w:rsid w:val="00E0071A"/>
    <w:rsid w:val="00E00B4A"/>
    <w:rsid w:val="00E010C7"/>
    <w:rsid w:val="00E010E2"/>
    <w:rsid w:val="00E0149A"/>
    <w:rsid w:val="00E0193E"/>
    <w:rsid w:val="00E0194E"/>
    <w:rsid w:val="00E01E5E"/>
    <w:rsid w:val="00E02752"/>
    <w:rsid w:val="00E02D3C"/>
    <w:rsid w:val="00E0316A"/>
    <w:rsid w:val="00E03C80"/>
    <w:rsid w:val="00E03CF0"/>
    <w:rsid w:val="00E03D1E"/>
    <w:rsid w:val="00E03DEC"/>
    <w:rsid w:val="00E03E0E"/>
    <w:rsid w:val="00E04F6D"/>
    <w:rsid w:val="00E04FD4"/>
    <w:rsid w:val="00E059B3"/>
    <w:rsid w:val="00E05F98"/>
    <w:rsid w:val="00E068CB"/>
    <w:rsid w:val="00E06EE7"/>
    <w:rsid w:val="00E07B67"/>
    <w:rsid w:val="00E07E23"/>
    <w:rsid w:val="00E07E89"/>
    <w:rsid w:val="00E10190"/>
    <w:rsid w:val="00E1041B"/>
    <w:rsid w:val="00E10C25"/>
    <w:rsid w:val="00E1110B"/>
    <w:rsid w:val="00E11334"/>
    <w:rsid w:val="00E11474"/>
    <w:rsid w:val="00E11D29"/>
    <w:rsid w:val="00E12770"/>
    <w:rsid w:val="00E13088"/>
    <w:rsid w:val="00E13FDA"/>
    <w:rsid w:val="00E15101"/>
    <w:rsid w:val="00E16684"/>
    <w:rsid w:val="00E1681F"/>
    <w:rsid w:val="00E16C46"/>
    <w:rsid w:val="00E17201"/>
    <w:rsid w:val="00E172A9"/>
    <w:rsid w:val="00E174D9"/>
    <w:rsid w:val="00E17C44"/>
    <w:rsid w:val="00E17D74"/>
    <w:rsid w:val="00E17EC7"/>
    <w:rsid w:val="00E20370"/>
    <w:rsid w:val="00E20452"/>
    <w:rsid w:val="00E20758"/>
    <w:rsid w:val="00E21372"/>
    <w:rsid w:val="00E21FD2"/>
    <w:rsid w:val="00E22417"/>
    <w:rsid w:val="00E22594"/>
    <w:rsid w:val="00E2271D"/>
    <w:rsid w:val="00E22BCA"/>
    <w:rsid w:val="00E2310B"/>
    <w:rsid w:val="00E235A5"/>
    <w:rsid w:val="00E23A10"/>
    <w:rsid w:val="00E23EE6"/>
    <w:rsid w:val="00E24127"/>
    <w:rsid w:val="00E2465D"/>
    <w:rsid w:val="00E24C8D"/>
    <w:rsid w:val="00E24FFB"/>
    <w:rsid w:val="00E250E1"/>
    <w:rsid w:val="00E2570E"/>
    <w:rsid w:val="00E25872"/>
    <w:rsid w:val="00E25A51"/>
    <w:rsid w:val="00E25EB7"/>
    <w:rsid w:val="00E260A0"/>
    <w:rsid w:val="00E262D7"/>
    <w:rsid w:val="00E26476"/>
    <w:rsid w:val="00E2670D"/>
    <w:rsid w:val="00E26B4A"/>
    <w:rsid w:val="00E26DA0"/>
    <w:rsid w:val="00E275BA"/>
    <w:rsid w:val="00E27E44"/>
    <w:rsid w:val="00E3008D"/>
    <w:rsid w:val="00E301C2"/>
    <w:rsid w:val="00E304E1"/>
    <w:rsid w:val="00E309DA"/>
    <w:rsid w:val="00E30B37"/>
    <w:rsid w:val="00E31304"/>
    <w:rsid w:val="00E318C2"/>
    <w:rsid w:val="00E31B26"/>
    <w:rsid w:val="00E3261E"/>
    <w:rsid w:val="00E32AA8"/>
    <w:rsid w:val="00E3318D"/>
    <w:rsid w:val="00E33385"/>
    <w:rsid w:val="00E336BE"/>
    <w:rsid w:val="00E33853"/>
    <w:rsid w:val="00E33F90"/>
    <w:rsid w:val="00E33FA1"/>
    <w:rsid w:val="00E34314"/>
    <w:rsid w:val="00E3470F"/>
    <w:rsid w:val="00E350F5"/>
    <w:rsid w:val="00E35A33"/>
    <w:rsid w:val="00E35C6D"/>
    <w:rsid w:val="00E35F9A"/>
    <w:rsid w:val="00E364F0"/>
    <w:rsid w:val="00E36799"/>
    <w:rsid w:val="00E36A47"/>
    <w:rsid w:val="00E36FAA"/>
    <w:rsid w:val="00E3707E"/>
    <w:rsid w:val="00E3717C"/>
    <w:rsid w:val="00E37239"/>
    <w:rsid w:val="00E37576"/>
    <w:rsid w:val="00E407BB"/>
    <w:rsid w:val="00E4113C"/>
    <w:rsid w:val="00E41D3F"/>
    <w:rsid w:val="00E42221"/>
    <w:rsid w:val="00E42405"/>
    <w:rsid w:val="00E42F33"/>
    <w:rsid w:val="00E4404B"/>
    <w:rsid w:val="00E44514"/>
    <w:rsid w:val="00E44630"/>
    <w:rsid w:val="00E44AF8"/>
    <w:rsid w:val="00E44DC6"/>
    <w:rsid w:val="00E44E25"/>
    <w:rsid w:val="00E44E2B"/>
    <w:rsid w:val="00E45354"/>
    <w:rsid w:val="00E45AE6"/>
    <w:rsid w:val="00E45C44"/>
    <w:rsid w:val="00E45D44"/>
    <w:rsid w:val="00E47619"/>
    <w:rsid w:val="00E5050A"/>
    <w:rsid w:val="00E50B8B"/>
    <w:rsid w:val="00E50C2F"/>
    <w:rsid w:val="00E513F1"/>
    <w:rsid w:val="00E5154C"/>
    <w:rsid w:val="00E51665"/>
    <w:rsid w:val="00E5172E"/>
    <w:rsid w:val="00E5190F"/>
    <w:rsid w:val="00E5200E"/>
    <w:rsid w:val="00E5205F"/>
    <w:rsid w:val="00E522A8"/>
    <w:rsid w:val="00E52BA0"/>
    <w:rsid w:val="00E5333A"/>
    <w:rsid w:val="00E534F5"/>
    <w:rsid w:val="00E5378C"/>
    <w:rsid w:val="00E53E92"/>
    <w:rsid w:val="00E545BC"/>
    <w:rsid w:val="00E549E5"/>
    <w:rsid w:val="00E54D1A"/>
    <w:rsid w:val="00E55866"/>
    <w:rsid w:val="00E55B8A"/>
    <w:rsid w:val="00E5608C"/>
    <w:rsid w:val="00E5650E"/>
    <w:rsid w:val="00E56762"/>
    <w:rsid w:val="00E56F4A"/>
    <w:rsid w:val="00E5779D"/>
    <w:rsid w:val="00E57F40"/>
    <w:rsid w:val="00E6002C"/>
    <w:rsid w:val="00E6019F"/>
    <w:rsid w:val="00E60416"/>
    <w:rsid w:val="00E605AC"/>
    <w:rsid w:val="00E609DD"/>
    <w:rsid w:val="00E61430"/>
    <w:rsid w:val="00E61ED7"/>
    <w:rsid w:val="00E623D1"/>
    <w:rsid w:val="00E6253D"/>
    <w:rsid w:val="00E629AF"/>
    <w:rsid w:val="00E6305E"/>
    <w:rsid w:val="00E647B0"/>
    <w:rsid w:val="00E6545D"/>
    <w:rsid w:val="00E656D9"/>
    <w:rsid w:val="00E65C22"/>
    <w:rsid w:val="00E65F8D"/>
    <w:rsid w:val="00E6610A"/>
    <w:rsid w:val="00E66291"/>
    <w:rsid w:val="00E6645D"/>
    <w:rsid w:val="00E664E2"/>
    <w:rsid w:val="00E67174"/>
    <w:rsid w:val="00E679FF"/>
    <w:rsid w:val="00E70B36"/>
    <w:rsid w:val="00E71592"/>
    <w:rsid w:val="00E71CB1"/>
    <w:rsid w:val="00E7213B"/>
    <w:rsid w:val="00E7218F"/>
    <w:rsid w:val="00E72471"/>
    <w:rsid w:val="00E7260C"/>
    <w:rsid w:val="00E72EEC"/>
    <w:rsid w:val="00E730A6"/>
    <w:rsid w:val="00E73295"/>
    <w:rsid w:val="00E739C7"/>
    <w:rsid w:val="00E742A2"/>
    <w:rsid w:val="00E744AE"/>
    <w:rsid w:val="00E747D9"/>
    <w:rsid w:val="00E74AB9"/>
    <w:rsid w:val="00E75394"/>
    <w:rsid w:val="00E75DB3"/>
    <w:rsid w:val="00E75ECE"/>
    <w:rsid w:val="00E76028"/>
    <w:rsid w:val="00E7611D"/>
    <w:rsid w:val="00E76140"/>
    <w:rsid w:val="00E76D2C"/>
    <w:rsid w:val="00E77379"/>
    <w:rsid w:val="00E775A7"/>
    <w:rsid w:val="00E778DC"/>
    <w:rsid w:val="00E77E2A"/>
    <w:rsid w:val="00E800A8"/>
    <w:rsid w:val="00E8057A"/>
    <w:rsid w:val="00E80972"/>
    <w:rsid w:val="00E8163B"/>
    <w:rsid w:val="00E81911"/>
    <w:rsid w:val="00E81A3B"/>
    <w:rsid w:val="00E81CAC"/>
    <w:rsid w:val="00E81D2A"/>
    <w:rsid w:val="00E82DC5"/>
    <w:rsid w:val="00E83EED"/>
    <w:rsid w:val="00E84234"/>
    <w:rsid w:val="00E84555"/>
    <w:rsid w:val="00E84ADF"/>
    <w:rsid w:val="00E84EB9"/>
    <w:rsid w:val="00E85406"/>
    <w:rsid w:val="00E8583C"/>
    <w:rsid w:val="00E85986"/>
    <w:rsid w:val="00E85D3C"/>
    <w:rsid w:val="00E860FB"/>
    <w:rsid w:val="00E869CE"/>
    <w:rsid w:val="00E86F7C"/>
    <w:rsid w:val="00E8717C"/>
    <w:rsid w:val="00E8717E"/>
    <w:rsid w:val="00E873E0"/>
    <w:rsid w:val="00E87FD0"/>
    <w:rsid w:val="00E903B4"/>
    <w:rsid w:val="00E9067A"/>
    <w:rsid w:val="00E90C7B"/>
    <w:rsid w:val="00E90F8A"/>
    <w:rsid w:val="00E9189D"/>
    <w:rsid w:val="00E920AA"/>
    <w:rsid w:val="00E92DA4"/>
    <w:rsid w:val="00E93DAA"/>
    <w:rsid w:val="00E93FDD"/>
    <w:rsid w:val="00E949E6"/>
    <w:rsid w:val="00E95162"/>
    <w:rsid w:val="00E95238"/>
    <w:rsid w:val="00E9527A"/>
    <w:rsid w:val="00E952FD"/>
    <w:rsid w:val="00E953BA"/>
    <w:rsid w:val="00E96CD3"/>
    <w:rsid w:val="00E96E5A"/>
    <w:rsid w:val="00E970DC"/>
    <w:rsid w:val="00E97236"/>
    <w:rsid w:val="00E9727E"/>
    <w:rsid w:val="00E976FD"/>
    <w:rsid w:val="00EA0175"/>
    <w:rsid w:val="00EA0563"/>
    <w:rsid w:val="00EA1CC5"/>
    <w:rsid w:val="00EA1D67"/>
    <w:rsid w:val="00EA1F1F"/>
    <w:rsid w:val="00EA24AF"/>
    <w:rsid w:val="00EA2AE5"/>
    <w:rsid w:val="00EA3114"/>
    <w:rsid w:val="00EA3129"/>
    <w:rsid w:val="00EA3631"/>
    <w:rsid w:val="00EA3750"/>
    <w:rsid w:val="00EA3A9A"/>
    <w:rsid w:val="00EA3B1E"/>
    <w:rsid w:val="00EA41B8"/>
    <w:rsid w:val="00EA4897"/>
    <w:rsid w:val="00EA48C2"/>
    <w:rsid w:val="00EA4E19"/>
    <w:rsid w:val="00EA5012"/>
    <w:rsid w:val="00EA568C"/>
    <w:rsid w:val="00EA5BF4"/>
    <w:rsid w:val="00EA60B8"/>
    <w:rsid w:val="00EA60C1"/>
    <w:rsid w:val="00EA67C7"/>
    <w:rsid w:val="00EA722A"/>
    <w:rsid w:val="00EA7333"/>
    <w:rsid w:val="00EB0D1A"/>
    <w:rsid w:val="00EB1111"/>
    <w:rsid w:val="00EB156D"/>
    <w:rsid w:val="00EB18B8"/>
    <w:rsid w:val="00EB22D6"/>
    <w:rsid w:val="00EB27F6"/>
    <w:rsid w:val="00EB2D02"/>
    <w:rsid w:val="00EB30BF"/>
    <w:rsid w:val="00EB31C5"/>
    <w:rsid w:val="00EB3360"/>
    <w:rsid w:val="00EB353C"/>
    <w:rsid w:val="00EB3AB8"/>
    <w:rsid w:val="00EB41A7"/>
    <w:rsid w:val="00EB4948"/>
    <w:rsid w:val="00EB4B7A"/>
    <w:rsid w:val="00EB51F0"/>
    <w:rsid w:val="00EB54FE"/>
    <w:rsid w:val="00EB65A6"/>
    <w:rsid w:val="00EB6863"/>
    <w:rsid w:val="00EB6CCE"/>
    <w:rsid w:val="00EC0CC0"/>
    <w:rsid w:val="00EC0D35"/>
    <w:rsid w:val="00EC2D0E"/>
    <w:rsid w:val="00EC37A9"/>
    <w:rsid w:val="00EC4BCF"/>
    <w:rsid w:val="00EC4CD0"/>
    <w:rsid w:val="00EC5277"/>
    <w:rsid w:val="00EC532C"/>
    <w:rsid w:val="00EC5596"/>
    <w:rsid w:val="00EC6A03"/>
    <w:rsid w:val="00EC709A"/>
    <w:rsid w:val="00EC723E"/>
    <w:rsid w:val="00EC7586"/>
    <w:rsid w:val="00EC785D"/>
    <w:rsid w:val="00EC78D5"/>
    <w:rsid w:val="00EC7900"/>
    <w:rsid w:val="00EC7B1A"/>
    <w:rsid w:val="00EC7BF0"/>
    <w:rsid w:val="00ED0336"/>
    <w:rsid w:val="00ED068F"/>
    <w:rsid w:val="00ED0E41"/>
    <w:rsid w:val="00ED1121"/>
    <w:rsid w:val="00ED1823"/>
    <w:rsid w:val="00ED1A88"/>
    <w:rsid w:val="00ED1ADE"/>
    <w:rsid w:val="00ED1C98"/>
    <w:rsid w:val="00ED247A"/>
    <w:rsid w:val="00ED2511"/>
    <w:rsid w:val="00ED283F"/>
    <w:rsid w:val="00ED2D1C"/>
    <w:rsid w:val="00ED2E2E"/>
    <w:rsid w:val="00ED2E5E"/>
    <w:rsid w:val="00ED30E6"/>
    <w:rsid w:val="00ED34A7"/>
    <w:rsid w:val="00ED34D8"/>
    <w:rsid w:val="00ED3542"/>
    <w:rsid w:val="00ED3B04"/>
    <w:rsid w:val="00ED3D06"/>
    <w:rsid w:val="00ED509D"/>
    <w:rsid w:val="00ED52CC"/>
    <w:rsid w:val="00ED5C07"/>
    <w:rsid w:val="00ED67D8"/>
    <w:rsid w:val="00ED7302"/>
    <w:rsid w:val="00ED7462"/>
    <w:rsid w:val="00ED77B9"/>
    <w:rsid w:val="00ED7FB3"/>
    <w:rsid w:val="00EE01DB"/>
    <w:rsid w:val="00EE09A7"/>
    <w:rsid w:val="00EE0F4A"/>
    <w:rsid w:val="00EE1B70"/>
    <w:rsid w:val="00EE212F"/>
    <w:rsid w:val="00EE214C"/>
    <w:rsid w:val="00EE2416"/>
    <w:rsid w:val="00EE257D"/>
    <w:rsid w:val="00EE28B3"/>
    <w:rsid w:val="00EE2F15"/>
    <w:rsid w:val="00EE36CB"/>
    <w:rsid w:val="00EE4371"/>
    <w:rsid w:val="00EE482D"/>
    <w:rsid w:val="00EE4EE7"/>
    <w:rsid w:val="00EE541E"/>
    <w:rsid w:val="00EE5517"/>
    <w:rsid w:val="00EE5764"/>
    <w:rsid w:val="00EE6138"/>
    <w:rsid w:val="00EE6313"/>
    <w:rsid w:val="00EE6C3F"/>
    <w:rsid w:val="00EE717B"/>
    <w:rsid w:val="00EE78CB"/>
    <w:rsid w:val="00EF05D6"/>
    <w:rsid w:val="00EF0FF8"/>
    <w:rsid w:val="00EF1506"/>
    <w:rsid w:val="00EF15EE"/>
    <w:rsid w:val="00EF1EE3"/>
    <w:rsid w:val="00EF1F3B"/>
    <w:rsid w:val="00EF200E"/>
    <w:rsid w:val="00EF24E3"/>
    <w:rsid w:val="00EF25A5"/>
    <w:rsid w:val="00EF263B"/>
    <w:rsid w:val="00EF27BB"/>
    <w:rsid w:val="00EF3246"/>
    <w:rsid w:val="00EF3914"/>
    <w:rsid w:val="00EF43C4"/>
    <w:rsid w:val="00EF4874"/>
    <w:rsid w:val="00EF4A30"/>
    <w:rsid w:val="00EF4B0C"/>
    <w:rsid w:val="00EF4C02"/>
    <w:rsid w:val="00EF5022"/>
    <w:rsid w:val="00EF5522"/>
    <w:rsid w:val="00EF5685"/>
    <w:rsid w:val="00EF57CB"/>
    <w:rsid w:val="00EF5FDC"/>
    <w:rsid w:val="00EF6222"/>
    <w:rsid w:val="00EF64C1"/>
    <w:rsid w:val="00EF64E1"/>
    <w:rsid w:val="00EF6AF3"/>
    <w:rsid w:val="00EF7536"/>
    <w:rsid w:val="00EF78D5"/>
    <w:rsid w:val="00EF7BF3"/>
    <w:rsid w:val="00F004B4"/>
    <w:rsid w:val="00F00562"/>
    <w:rsid w:val="00F0066C"/>
    <w:rsid w:val="00F00880"/>
    <w:rsid w:val="00F00C0E"/>
    <w:rsid w:val="00F00C3C"/>
    <w:rsid w:val="00F015F9"/>
    <w:rsid w:val="00F018F8"/>
    <w:rsid w:val="00F01F38"/>
    <w:rsid w:val="00F01F67"/>
    <w:rsid w:val="00F02333"/>
    <w:rsid w:val="00F02369"/>
    <w:rsid w:val="00F035B5"/>
    <w:rsid w:val="00F038E6"/>
    <w:rsid w:val="00F03A16"/>
    <w:rsid w:val="00F043A2"/>
    <w:rsid w:val="00F043F7"/>
    <w:rsid w:val="00F04600"/>
    <w:rsid w:val="00F049B7"/>
    <w:rsid w:val="00F04A73"/>
    <w:rsid w:val="00F04BE2"/>
    <w:rsid w:val="00F04EDE"/>
    <w:rsid w:val="00F04F70"/>
    <w:rsid w:val="00F04FC3"/>
    <w:rsid w:val="00F050CA"/>
    <w:rsid w:val="00F055F0"/>
    <w:rsid w:val="00F05BAE"/>
    <w:rsid w:val="00F0626E"/>
    <w:rsid w:val="00F063C4"/>
    <w:rsid w:val="00F06957"/>
    <w:rsid w:val="00F069C5"/>
    <w:rsid w:val="00F06A68"/>
    <w:rsid w:val="00F06B61"/>
    <w:rsid w:val="00F06E3B"/>
    <w:rsid w:val="00F07647"/>
    <w:rsid w:val="00F07BD7"/>
    <w:rsid w:val="00F07D70"/>
    <w:rsid w:val="00F10527"/>
    <w:rsid w:val="00F10749"/>
    <w:rsid w:val="00F10A5A"/>
    <w:rsid w:val="00F10C7C"/>
    <w:rsid w:val="00F12B95"/>
    <w:rsid w:val="00F13099"/>
    <w:rsid w:val="00F133D0"/>
    <w:rsid w:val="00F140C5"/>
    <w:rsid w:val="00F143DB"/>
    <w:rsid w:val="00F145E1"/>
    <w:rsid w:val="00F14784"/>
    <w:rsid w:val="00F14A40"/>
    <w:rsid w:val="00F14D60"/>
    <w:rsid w:val="00F1513B"/>
    <w:rsid w:val="00F1548C"/>
    <w:rsid w:val="00F15499"/>
    <w:rsid w:val="00F15872"/>
    <w:rsid w:val="00F15AEC"/>
    <w:rsid w:val="00F15AED"/>
    <w:rsid w:val="00F16376"/>
    <w:rsid w:val="00F16F22"/>
    <w:rsid w:val="00F171F6"/>
    <w:rsid w:val="00F17689"/>
    <w:rsid w:val="00F17DBF"/>
    <w:rsid w:val="00F20169"/>
    <w:rsid w:val="00F204C4"/>
    <w:rsid w:val="00F20531"/>
    <w:rsid w:val="00F210AD"/>
    <w:rsid w:val="00F211E8"/>
    <w:rsid w:val="00F215AB"/>
    <w:rsid w:val="00F218E8"/>
    <w:rsid w:val="00F21963"/>
    <w:rsid w:val="00F21CA1"/>
    <w:rsid w:val="00F2209C"/>
    <w:rsid w:val="00F2213A"/>
    <w:rsid w:val="00F22515"/>
    <w:rsid w:val="00F22765"/>
    <w:rsid w:val="00F2276B"/>
    <w:rsid w:val="00F227CF"/>
    <w:rsid w:val="00F228EB"/>
    <w:rsid w:val="00F22912"/>
    <w:rsid w:val="00F22DA2"/>
    <w:rsid w:val="00F23E9F"/>
    <w:rsid w:val="00F24250"/>
    <w:rsid w:val="00F24389"/>
    <w:rsid w:val="00F243EE"/>
    <w:rsid w:val="00F24662"/>
    <w:rsid w:val="00F24B18"/>
    <w:rsid w:val="00F24C6B"/>
    <w:rsid w:val="00F24D45"/>
    <w:rsid w:val="00F25056"/>
    <w:rsid w:val="00F2537A"/>
    <w:rsid w:val="00F25B5C"/>
    <w:rsid w:val="00F25D49"/>
    <w:rsid w:val="00F26026"/>
    <w:rsid w:val="00F276EF"/>
    <w:rsid w:val="00F27D3B"/>
    <w:rsid w:val="00F3002C"/>
    <w:rsid w:val="00F3031A"/>
    <w:rsid w:val="00F306A3"/>
    <w:rsid w:val="00F3100A"/>
    <w:rsid w:val="00F310D7"/>
    <w:rsid w:val="00F3156E"/>
    <w:rsid w:val="00F3192B"/>
    <w:rsid w:val="00F31CAC"/>
    <w:rsid w:val="00F31F0A"/>
    <w:rsid w:val="00F3265A"/>
    <w:rsid w:val="00F32CB8"/>
    <w:rsid w:val="00F33936"/>
    <w:rsid w:val="00F33F7F"/>
    <w:rsid w:val="00F34127"/>
    <w:rsid w:val="00F3486D"/>
    <w:rsid w:val="00F348D8"/>
    <w:rsid w:val="00F35B8A"/>
    <w:rsid w:val="00F36002"/>
    <w:rsid w:val="00F36418"/>
    <w:rsid w:val="00F36D09"/>
    <w:rsid w:val="00F37044"/>
    <w:rsid w:val="00F3730A"/>
    <w:rsid w:val="00F3792F"/>
    <w:rsid w:val="00F37D4A"/>
    <w:rsid w:val="00F37DB7"/>
    <w:rsid w:val="00F37E38"/>
    <w:rsid w:val="00F37F8C"/>
    <w:rsid w:val="00F4062E"/>
    <w:rsid w:val="00F407BF"/>
    <w:rsid w:val="00F4081A"/>
    <w:rsid w:val="00F41364"/>
    <w:rsid w:val="00F41528"/>
    <w:rsid w:val="00F415EC"/>
    <w:rsid w:val="00F41828"/>
    <w:rsid w:val="00F41BA9"/>
    <w:rsid w:val="00F4259B"/>
    <w:rsid w:val="00F42C64"/>
    <w:rsid w:val="00F42D28"/>
    <w:rsid w:val="00F43650"/>
    <w:rsid w:val="00F43B10"/>
    <w:rsid w:val="00F43C9E"/>
    <w:rsid w:val="00F43F4E"/>
    <w:rsid w:val="00F44402"/>
    <w:rsid w:val="00F446C6"/>
    <w:rsid w:val="00F44786"/>
    <w:rsid w:val="00F448C4"/>
    <w:rsid w:val="00F44C0C"/>
    <w:rsid w:val="00F44FAE"/>
    <w:rsid w:val="00F45280"/>
    <w:rsid w:val="00F4572C"/>
    <w:rsid w:val="00F45CD4"/>
    <w:rsid w:val="00F461E7"/>
    <w:rsid w:val="00F4676B"/>
    <w:rsid w:val="00F46981"/>
    <w:rsid w:val="00F46A61"/>
    <w:rsid w:val="00F46B29"/>
    <w:rsid w:val="00F470D9"/>
    <w:rsid w:val="00F4715B"/>
    <w:rsid w:val="00F475D7"/>
    <w:rsid w:val="00F47934"/>
    <w:rsid w:val="00F47990"/>
    <w:rsid w:val="00F47E0A"/>
    <w:rsid w:val="00F47F19"/>
    <w:rsid w:val="00F500A8"/>
    <w:rsid w:val="00F50C23"/>
    <w:rsid w:val="00F50FDB"/>
    <w:rsid w:val="00F517C6"/>
    <w:rsid w:val="00F51913"/>
    <w:rsid w:val="00F51962"/>
    <w:rsid w:val="00F51DB1"/>
    <w:rsid w:val="00F51FA3"/>
    <w:rsid w:val="00F52A26"/>
    <w:rsid w:val="00F52AF8"/>
    <w:rsid w:val="00F52ECC"/>
    <w:rsid w:val="00F53157"/>
    <w:rsid w:val="00F53A0E"/>
    <w:rsid w:val="00F545AC"/>
    <w:rsid w:val="00F546C5"/>
    <w:rsid w:val="00F55145"/>
    <w:rsid w:val="00F55851"/>
    <w:rsid w:val="00F55A59"/>
    <w:rsid w:val="00F55E2D"/>
    <w:rsid w:val="00F55E88"/>
    <w:rsid w:val="00F56040"/>
    <w:rsid w:val="00F562C8"/>
    <w:rsid w:val="00F56924"/>
    <w:rsid w:val="00F5692A"/>
    <w:rsid w:val="00F56A9F"/>
    <w:rsid w:val="00F56B55"/>
    <w:rsid w:val="00F5758B"/>
    <w:rsid w:val="00F57881"/>
    <w:rsid w:val="00F578A6"/>
    <w:rsid w:val="00F57A34"/>
    <w:rsid w:val="00F60327"/>
    <w:rsid w:val="00F60410"/>
    <w:rsid w:val="00F604F8"/>
    <w:rsid w:val="00F60A16"/>
    <w:rsid w:val="00F61048"/>
    <w:rsid w:val="00F6181A"/>
    <w:rsid w:val="00F61CC9"/>
    <w:rsid w:val="00F64282"/>
    <w:rsid w:val="00F648DC"/>
    <w:rsid w:val="00F6490D"/>
    <w:rsid w:val="00F64DC9"/>
    <w:rsid w:val="00F655CA"/>
    <w:rsid w:val="00F656A7"/>
    <w:rsid w:val="00F65E93"/>
    <w:rsid w:val="00F66485"/>
    <w:rsid w:val="00F6650E"/>
    <w:rsid w:val="00F66C63"/>
    <w:rsid w:val="00F66DFA"/>
    <w:rsid w:val="00F67ABB"/>
    <w:rsid w:val="00F67F69"/>
    <w:rsid w:val="00F700EC"/>
    <w:rsid w:val="00F707CE"/>
    <w:rsid w:val="00F70C41"/>
    <w:rsid w:val="00F70D9C"/>
    <w:rsid w:val="00F70E17"/>
    <w:rsid w:val="00F70E3F"/>
    <w:rsid w:val="00F70E88"/>
    <w:rsid w:val="00F716B7"/>
    <w:rsid w:val="00F71846"/>
    <w:rsid w:val="00F7222F"/>
    <w:rsid w:val="00F7282D"/>
    <w:rsid w:val="00F73515"/>
    <w:rsid w:val="00F73A9A"/>
    <w:rsid w:val="00F73CE5"/>
    <w:rsid w:val="00F7454C"/>
    <w:rsid w:val="00F74849"/>
    <w:rsid w:val="00F74C12"/>
    <w:rsid w:val="00F74CD1"/>
    <w:rsid w:val="00F74E9E"/>
    <w:rsid w:val="00F75416"/>
    <w:rsid w:val="00F7569C"/>
    <w:rsid w:val="00F75831"/>
    <w:rsid w:val="00F75998"/>
    <w:rsid w:val="00F75B06"/>
    <w:rsid w:val="00F7646E"/>
    <w:rsid w:val="00F76759"/>
    <w:rsid w:val="00F768D2"/>
    <w:rsid w:val="00F76E32"/>
    <w:rsid w:val="00F7758E"/>
    <w:rsid w:val="00F775C0"/>
    <w:rsid w:val="00F77735"/>
    <w:rsid w:val="00F77991"/>
    <w:rsid w:val="00F77A92"/>
    <w:rsid w:val="00F77C5E"/>
    <w:rsid w:val="00F80E67"/>
    <w:rsid w:val="00F81282"/>
    <w:rsid w:val="00F82F5E"/>
    <w:rsid w:val="00F835DC"/>
    <w:rsid w:val="00F83719"/>
    <w:rsid w:val="00F83A82"/>
    <w:rsid w:val="00F84125"/>
    <w:rsid w:val="00F84BAE"/>
    <w:rsid w:val="00F84D99"/>
    <w:rsid w:val="00F84E1F"/>
    <w:rsid w:val="00F85466"/>
    <w:rsid w:val="00F855AA"/>
    <w:rsid w:val="00F8643B"/>
    <w:rsid w:val="00F86506"/>
    <w:rsid w:val="00F8675C"/>
    <w:rsid w:val="00F873C0"/>
    <w:rsid w:val="00F87780"/>
    <w:rsid w:val="00F87B9C"/>
    <w:rsid w:val="00F87BAA"/>
    <w:rsid w:val="00F87D5E"/>
    <w:rsid w:val="00F902C5"/>
    <w:rsid w:val="00F9091F"/>
    <w:rsid w:val="00F90CE9"/>
    <w:rsid w:val="00F9114F"/>
    <w:rsid w:val="00F91891"/>
    <w:rsid w:val="00F91A70"/>
    <w:rsid w:val="00F91EF3"/>
    <w:rsid w:val="00F93A78"/>
    <w:rsid w:val="00F93AB4"/>
    <w:rsid w:val="00F93B08"/>
    <w:rsid w:val="00F945D5"/>
    <w:rsid w:val="00F946E3"/>
    <w:rsid w:val="00F95BF5"/>
    <w:rsid w:val="00F960B6"/>
    <w:rsid w:val="00F967EF"/>
    <w:rsid w:val="00F97081"/>
    <w:rsid w:val="00F9709C"/>
    <w:rsid w:val="00F97105"/>
    <w:rsid w:val="00F971EF"/>
    <w:rsid w:val="00F97285"/>
    <w:rsid w:val="00F97366"/>
    <w:rsid w:val="00F979DD"/>
    <w:rsid w:val="00F97B08"/>
    <w:rsid w:val="00F97B1D"/>
    <w:rsid w:val="00F97C40"/>
    <w:rsid w:val="00FA02AB"/>
    <w:rsid w:val="00FA100A"/>
    <w:rsid w:val="00FA1169"/>
    <w:rsid w:val="00FA11F4"/>
    <w:rsid w:val="00FA1205"/>
    <w:rsid w:val="00FA18BA"/>
    <w:rsid w:val="00FA1DD9"/>
    <w:rsid w:val="00FA1EC9"/>
    <w:rsid w:val="00FA1EE8"/>
    <w:rsid w:val="00FA24A5"/>
    <w:rsid w:val="00FA2F31"/>
    <w:rsid w:val="00FA34BE"/>
    <w:rsid w:val="00FA35F0"/>
    <w:rsid w:val="00FA36DC"/>
    <w:rsid w:val="00FA3BD0"/>
    <w:rsid w:val="00FA41CA"/>
    <w:rsid w:val="00FA462B"/>
    <w:rsid w:val="00FA557E"/>
    <w:rsid w:val="00FA565B"/>
    <w:rsid w:val="00FA5CFA"/>
    <w:rsid w:val="00FA61A5"/>
    <w:rsid w:val="00FA6213"/>
    <w:rsid w:val="00FA626B"/>
    <w:rsid w:val="00FA6370"/>
    <w:rsid w:val="00FA6431"/>
    <w:rsid w:val="00FA652A"/>
    <w:rsid w:val="00FA66E0"/>
    <w:rsid w:val="00FA6903"/>
    <w:rsid w:val="00FA6AC7"/>
    <w:rsid w:val="00FA6CAD"/>
    <w:rsid w:val="00FA732B"/>
    <w:rsid w:val="00FA7974"/>
    <w:rsid w:val="00FA7C72"/>
    <w:rsid w:val="00FB03F7"/>
    <w:rsid w:val="00FB08CE"/>
    <w:rsid w:val="00FB0E9B"/>
    <w:rsid w:val="00FB10A7"/>
    <w:rsid w:val="00FB110C"/>
    <w:rsid w:val="00FB156E"/>
    <w:rsid w:val="00FB1590"/>
    <w:rsid w:val="00FB169B"/>
    <w:rsid w:val="00FB19E3"/>
    <w:rsid w:val="00FB1A00"/>
    <w:rsid w:val="00FB1B06"/>
    <w:rsid w:val="00FB21EF"/>
    <w:rsid w:val="00FB2B2D"/>
    <w:rsid w:val="00FB2FC5"/>
    <w:rsid w:val="00FB31DF"/>
    <w:rsid w:val="00FB3579"/>
    <w:rsid w:val="00FB3590"/>
    <w:rsid w:val="00FB39E9"/>
    <w:rsid w:val="00FB3D96"/>
    <w:rsid w:val="00FB43CB"/>
    <w:rsid w:val="00FB464C"/>
    <w:rsid w:val="00FB4A7C"/>
    <w:rsid w:val="00FB4B69"/>
    <w:rsid w:val="00FB4C20"/>
    <w:rsid w:val="00FB51B8"/>
    <w:rsid w:val="00FB5251"/>
    <w:rsid w:val="00FB603E"/>
    <w:rsid w:val="00FB6E8D"/>
    <w:rsid w:val="00FB7322"/>
    <w:rsid w:val="00FB73E3"/>
    <w:rsid w:val="00FB7A5B"/>
    <w:rsid w:val="00FC03B2"/>
    <w:rsid w:val="00FC0C43"/>
    <w:rsid w:val="00FC0EEE"/>
    <w:rsid w:val="00FC1118"/>
    <w:rsid w:val="00FC21ED"/>
    <w:rsid w:val="00FC2482"/>
    <w:rsid w:val="00FC2C8B"/>
    <w:rsid w:val="00FC2CF9"/>
    <w:rsid w:val="00FC3DED"/>
    <w:rsid w:val="00FC3E94"/>
    <w:rsid w:val="00FC47E0"/>
    <w:rsid w:val="00FC5271"/>
    <w:rsid w:val="00FC5AEB"/>
    <w:rsid w:val="00FC5AFB"/>
    <w:rsid w:val="00FC5DA5"/>
    <w:rsid w:val="00FC5E7E"/>
    <w:rsid w:val="00FC687F"/>
    <w:rsid w:val="00FC6C0F"/>
    <w:rsid w:val="00FC73A9"/>
    <w:rsid w:val="00FC7CC7"/>
    <w:rsid w:val="00FC7F14"/>
    <w:rsid w:val="00FD05D1"/>
    <w:rsid w:val="00FD06DB"/>
    <w:rsid w:val="00FD19A5"/>
    <w:rsid w:val="00FD2B00"/>
    <w:rsid w:val="00FD3187"/>
    <w:rsid w:val="00FD35BF"/>
    <w:rsid w:val="00FD4407"/>
    <w:rsid w:val="00FD4690"/>
    <w:rsid w:val="00FD4FE4"/>
    <w:rsid w:val="00FD50E5"/>
    <w:rsid w:val="00FD54CE"/>
    <w:rsid w:val="00FD5E47"/>
    <w:rsid w:val="00FD7056"/>
    <w:rsid w:val="00FD707E"/>
    <w:rsid w:val="00FD713C"/>
    <w:rsid w:val="00FD7339"/>
    <w:rsid w:val="00FD783F"/>
    <w:rsid w:val="00FD7D64"/>
    <w:rsid w:val="00FE1656"/>
    <w:rsid w:val="00FE1C05"/>
    <w:rsid w:val="00FE1D53"/>
    <w:rsid w:val="00FE1E6E"/>
    <w:rsid w:val="00FE2A3B"/>
    <w:rsid w:val="00FE370F"/>
    <w:rsid w:val="00FE3A41"/>
    <w:rsid w:val="00FE4089"/>
    <w:rsid w:val="00FE44A2"/>
    <w:rsid w:val="00FE46A8"/>
    <w:rsid w:val="00FE4D66"/>
    <w:rsid w:val="00FE5905"/>
    <w:rsid w:val="00FE5FAC"/>
    <w:rsid w:val="00FE618E"/>
    <w:rsid w:val="00FE79CF"/>
    <w:rsid w:val="00FE7AB4"/>
    <w:rsid w:val="00FE7E22"/>
    <w:rsid w:val="00FF0719"/>
    <w:rsid w:val="00FF0D52"/>
    <w:rsid w:val="00FF0D81"/>
    <w:rsid w:val="00FF0DEE"/>
    <w:rsid w:val="00FF104A"/>
    <w:rsid w:val="00FF1348"/>
    <w:rsid w:val="00FF1AB2"/>
    <w:rsid w:val="00FF1ED4"/>
    <w:rsid w:val="00FF2803"/>
    <w:rsid w:val="00FF297B"/>
    <w:rsid w:val="00FF2985"/>
    <w:rsid w:val="00FF2DF0"/>
    <w:rsid w:val="00FF3A32"/>
    <w:rsid w:val="00FF3BA8"/>
    <w:rsid w:val="00FF4243"/>
    <w:rsid w:val="00FF49A7"/>
    <w:rsid w:val="00FF4EDC"/>
    <w:rsid w:val="00FF5245"/>
    <w:rsid w:val="00FF54A2"/>
    <w:rsid w:val="00FF5570"/>
    <w:rsid w:val="00FF5696"/>
    <w:rsid w:val="00FF5BF1"/>
    <w:rsid w:val="00FF5DE1"/>
    <w:rsid w:val="00FF5EA5"/>
    <w:rsid w:val="00FF65F4"/>
    <w:rsid w:val="00FF6A0E"/>
    <w:rsid w:val="00FF6B29"/>
    <w:rsid w:val="00FF6BF3"/>
    <w:rsid w:val="00FF70B7"/>
    <w:rsid w:val="00FF71F2"/>
    <w:rsid w:val="00FF7BB7"/>
    <w:rsid w:val="00FF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f5f5f5,#e0e0e0,#cdcdcd,#aeaeae"/>
    </o:shapedefaults>
    <o:shapelayout v:ext="edit">
      <o:idmap v:ext="edit" data="1"/>
    </o:shapelayout>
  </w:shapeDefaults>
  <w:decimalSymbol w:val="."/>
  <w:listSeparator w:val=","/>
  <w14:docId w14:val="38A8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335"/>
    <w:pPr>
      <w:spacing w:after="120"/>
      <w:jc w:val="both"/>
    </w:pPr>
    <w:rPr>
      <w:rFonts w:ascii="Arial" w:hAnsi="Arial"/>
      <w:szCs w:val="24"/>
      <w:lang w:eastAsia="en-US"/>
    </w:rPr>
  </w:style>
  <w:style w:type="paragraph" w:styleId="Heading1">
    <w:name w:val="heading 1"/>
    <w:aliases w:val="Heading 1 Char,Heading 1 Char1 Char,Headline 1 Char1 Char,Heading 1 Char Char Char,Headline 1 Char Char Char,Heading 1 Char1,Headline 1 Char1,Heading 1 Char Char,Headline 1 Char Char,Headline 1 Char,Headline 1,h1,Hoofdstuk,Section Heading,Para"/>
    <w:basedOn w:val="Normal"/>
    <w:next w:val="Normal"/>
    <w:link w:val="Heading1Char2"/>
    <w:qFormat/>
    <w:pPr>
      <w:keepNext/>
      <w:pageBreakBefore/>
      <w:numPr>
        <w:numId w:val="1"/>
      </w:numPr>
      <w:tabs>
        <w:tab w:val="left" w:pos="567"/>
      </w:tabs>
      <w:spacing w:before="600" w:after="240"/>
      <w:outlineLvl w:val="0"/>
    </w:pPr>
    <w:rPr>
      <w:rFonts w:cs="Arial"/>
      <w:b/>
      <w:bCs/>
      <w:caps/>
      <w:kern w:val="32"/>
      <w:sz w:val="32"/>
      <w:szCs w:val="32"/>
    </w:rPr>
  </w:style>
  <w:style w:type="paragraph" w:styleId="Heading2">
    <w:name w:val="heading 2"/>
    <w:aliases w:val="Heading 2 Char,Heading 2 Char1 Char,Headline 2 Char1 Char,h2 Char1 Char,2 Char1 Char,headi Char1 Char,heading2 Char1 Char,h21 Char1 Char,h22 Char1 Char,21 Char1 Char,H2 Char1 Char,l2 Char1 Char,kopregel 2 Char1 Char,Titre m Char1 Char,h2 Char1"/>
    <w:basedOn w:val="Normal"/>
    <w:next w:val="Normal"/>
    <w:link w:val="Heading2Char1"/>
    <w:qFormat/>
    <w:pPr>
      <w:keepNext/>
      <w:numPr>
        <w:ilvl w:val="1"/>
        <w:numId w:val="1"/>
      </w:numPr>
      <w:spacing w:before="240" w:after="240"/>
      <w:outlineLvl w:val="1"/>
    </w:pPr>
    <w:rPr>
      <w:rFonts w:cs="Arial"/>
      <w:b/>
      <w:bCs/>
      <w:iCs/>
      <w:smallCaps/>
      <w:sz w:val="32"/>
      <w:szCs w:val="28"/>
    </w:rPr>
  </w:style>
  <w:style w:type="paragraph" w:styleId="Heading3">
    <w:name w:val="heading 3"/>
    <w:aliases w:val="Headline 3,h3,h31,h32,H3,H31 Char,H31 Char Char,H31,Proposa,Heading 4 Proposal,DNV-H3,3,summit,3m,Paragraaf,head 3,header3,head 31,header31,head 32,header32,h33,head 33,header33,h311,head 311,header311,h321,head 321,header321,h34,head 34,h312"/>
    <w:basedOn w:val="Normal"/>
    <w:next w:val="Normal"/>
    <w:link w:val="Heading3Char"/>
    <w:qFormat/>
    <w:rsid w:val="00A951A5"/>
    <w:pPr>
      <w:keepNext/>
      <w:numPr>
        <w:ilvl w:val="2"/>
        <w:numId w:val="1"/>
      </w:numPr>
      <w:spacing w:before="240"/>
      <w:outlineLvl w:val="2"/>
    </w:pPr>
    <w:rPr>
      <w:rFonts w:eastAsia="Calibri" w:cs="Arial"/>
      <w:b/>
      <w:bCs/>
      <w:smallCaps/>
      <w:sz w:val="28"/>
      <w:szCs w:val="22"/>
    </w:rPr>
  </w:style>
  <w:style w:type="paragraph" w:styleId="Heading4">
    <w:name w:val="heading 4"/>
    <w:aliases w:val="Heading 4 Char Char,Heading 4 Char1,Heading 4 Char Char Char,Heading 4 Char1 Char,Heading 4 Char Char1,H4,4,Propos,DNV-H4,h4,h4 sub sub heading,Sub Sub Paragraph,Heading 4 CFMU,Para 4,chapitre 1.1.1.1,Contrat 4,Sub-paragraph,Heading 4(war),h41"/>
    <w:basedOn w:val="Normal"/>
    <w:next w:val="Normal"/>
    <w:link w:val="Heading4Char"/>
    <w:qFormat/>
    <w:rsid w:val="00525868"/>
    <w:pPr>
      <w:keepNext/>
      <w:numPr>
        <w:ilvl w:val="3"/>
        <w:numId w:val="1"/>
      </w:numPr>
      <w:spacing w:before="120"/>
      <w:outlineLvl w:val="3"/>
    </w:pPr>
    <w:rPr>
      <w:b/>
      <w:bCs/>
      <w:sz w:val="24"/>
      <w:szCs w:val="28"/>
    </w:rPr>
  </w:style>
  <w:style w:type="paragraph" w:styleId="Heading5">
    <w:name w:val="heading 5"/>
    <w:aliases w:val="Heading 5 CFMU,Para 5,h5,H5,Heading 5(war),DNV-H5,Block Label,Heading 5 Char Char,object/synopsis"/>
    <w:basedOn w:val="Normal"/>
    <w:next w:val="Normal"/>
    <w:qFormat/>
    <w:rsid w:val="00337730"/>
    <w:pPr>
      <w:numPr>
        <w:ilvl w:val="4"/>
        <w:numId w:val="1"/>
      </w:numPr>
      <w:spacing w:before="200"/>
      <w:outlineLvl w:val="4"/>
    </w:pPr>
    <w:rPr>
      <w:bCs/>
      <w:i/>
      <w:iCs/>
      <w:szCs w:val="26"/>
    </w:rPr>
  </w:style>
  <w:style w:type="paragraph" w:styleId="Heading6">
    <w:name w:val="heading 6"/>
    <w:aliases w:val="Heading 6 Char,H6,DNV-H6,6,Heading 6 CFMU,h6"/>
    <w:basedOn w:val="Normal"/>
    <w:next w:val="Normal"/>
    <w:qFormat/>
    <w:rsid w:val="00244B54"/>
    <w:pPr>
      <w:numPr>
        <w:ilvl w:val="5"/>
        <w:numId w:val="1"/>
      </w:numPr>
      <w:tabs>
        <w:tab w:val="clear" w:pos="1692"/>
      </w:tabs>
      <w:spacing w:before="240" w:after="60"/>
      <w:ind w:left="1151" w:hanging="1151"/>
      <w:outlineLvl w:val="5"/>
    </w:pPr>
    <w:rPr>
      <w:b/>
      <w:bCs/>
      <w:sz w:val="22"/>
      <w:szCs w:val="22"/>
    </w:rPr>
  </w:style>
  <w:style w:type="paragraph" w:styleId="Heading7">
    <w:name w:val="heading 7"/>
    <w:aliases w:val="DNV-H7,Heading 7 CFMU,h7"/>
    <w:basedOn w:val="Normal"/>
    <w:next w:val="Normal"/>
    <w:qFormat/>
    <w:pPr>
      <w:numPr>
        <w:ilvl w:val="6"/>
        <w:numId w:val="1"/>
      </w:numPr>
      <w:spacing w:before="240" w:after="60"/>
      <w:outlineLvl w:val="6"/>
    </w:pPr>
  </w:style>
  <w:style w:type="paragraph" w:styleId="Heading8">
    <w:name w:val="heading 8"/>
    <w:aliases w:val="DNV-H8,Überschrift 88,Heading 8 CFMU,h8"/>
    <w:basedOn w:val="Normal"/>
    <w:next w:val="Normal"/>
    <w:qFormat/>
    <w:pPr>
      <w:numPr>
        <w:ilvl w:val="7"/>
        <w:numId w:val="1"/>
      </w:numPr>
      <w:spacing w:before="240" w:after="60"/>
      <w:outlineLvl w:val="7"/>
    </w:pPr>
    <w:rPr>
      <w:i/>
      <w:iCs/>
    </w:rPr>
  </w:style>
  <w:style w:type="paragraph" w:styleId="Heading9">
    <w:name w:val="heading 9"/>
    <w:aliases w:val="DNV-H9,Heading 9 CFMU,h9"/>
    <w:basedOn w:val="Normal"/>
    <w:next w:val="Normal"/>
    <w:qFormat/>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1 Char Char1,Heading 1 Char1 Char Char,Headline 1 Char1 Char Char,Heading 1 Char Char Char Char,Headline 1 Char Char Char Char,Heading 1 Char1 Char1,Headline 1 Char1 Char1,Heading 1 Char Char Char1,Headline 1 Char Char Char1"/>
    <w:link w:val="Heading1"/>
    <w:rsid w:val="0035628D"/>
    <w:rPr>
      <w:rFonts w:ascii="Arial" w:hAnsi="Arial" w:cs="Arial"/>
      <w:b/>
      <w:bCs/>
      <w:caps/>
      <w:kern w:val="32"/>
      <w:sz w:val="32"/>
      <w:szCs w:val="32"/>
      <w:lang w:eastAsia="en-US"/>
    </w:rPr>
  </w:style>
  <w:style w:type="character" w:customStyle="1" w:styleId="Heading2Char1">
    <w:name w:val="Heading 2 Char1"/>
    <w:aliases w:val="Heading 2 Char Char,Heading 2 Char1 Char Char,Headline 2 Char1 Char Char,h2 Char1 Char Char,2 Char1 Char Char,headi Char1 Char Char,heading2 Char1 Char Char,h21 Char1 Char Char,h22 Char1 Char Char,21 Char1 Char Char,H2 Char1 Char Char"/>
    <w:link w:val="Heading2"/>
    <w:rsid w:val="0035628D"/>
    <w:rPr>
      <w:rFonts w:ascii="Arial" w:hAnsi="Arial" w:cs="Arial"/>
      <w:b/>
      <w:bCs/>
      <w:iCs/>
      <w:smallCaps/>
      <w:sz w:val="32"/>
      <w:szCs w:val="28"/>
      <w:lang w:eastAsia="en-US"/>
    </w:rPr>
  </w:style>
  <w:style w:type="paragraph" w:customStyle="1" w:styleId="NormalText">
    <w:name w:val="NormalText"/>
    <w:basedOn w:val="Normal"/>
    <w:pPr>
      <w:spacing w:before="120"/>
    </w:pPr>
    <w:rPr>
      <w:rFonts w:ascii="BBEHIZ+Palatino-Roman" w:hAnsi="BBEHIZ+Palatino-Roman"/>
      <w:sz w:val="22"/>
      <w:szCs w:val="20"/>
    </w:rPr>
  </w:style>
  <w:style w:type="paragraph" w:styleId="NormalIndent">
    <w:name w:val="Normal Indent"/>
    <w:basedOn w:val="Normal"/>
    <w:pPr>
      <w:spacing w:after="240"/>
      <w:ind w:left="720"/>
    </w:pPr>
    <w:rPr>
      <w:sz w:val="22"/>
      <w:szCs w:val="20"/>
      <w:lang w:val="en-IE"/>
    </w:rPr>
  </w:style>
  <w:style w:type="paragraph" w:styleId="BodyText3">
    <w:name w:val="Body Text 3"/>
    <w:basedOn w:val="Normal"/>
    <w:pPr>
      <w:tabs>
        <w:tab w:val="left" w:pos="1134"/>
        <w:tab w:val="left" w:pos="1701"/>
        <w:tab w:val="left" w:pos="2268"/>
      </w:tabs>
      <w:spacing w:before="120"/>
      <w:ind w:right="-1"/>
    </w:pPr>
    <w:rPr>
      <w:szCs w:val="20"/>
      <w:lang w:eastAsia="fr-FR"/>
    </w:rPr>
  </w:style>
  <w:style w:type="paragraph" w:styleId="Caption">
    <w:name w:val="caption"/>
    <w:aliases w:val=" Char Char Char, Char Char Char Char, Char Char Char Char Char, Char Char Char Char Char Char, Char Char Char Char Char1 Char,Caption Char1, Char Char Char Char Char1 Char Char,Char Char Char,Char Char Char Char Char Char"/>
    <w:basedOn w:val="Normal"/>
    <w:next w:val="Normal"/>
    <w:link w:val="CaptionChar"/>
    <w:qFormat/>
    <w:rsid w:val="00552019"/>
    <w:pPr>
      <w:spacing w:before="120"/>
      <w:jc w:val="center"/>
    </w:pPr>
    <w:rPr>
      <w:bCs/>
      <w:i/>
      <w:sz w:val="18"/>
      <w:szCs w:val="20"/>
    </w:rPr>
  </w:style>
  <w:style w:type="paragraph" w:styleId="TOC1">
    <w:name w:val="toc 1"/>
    <w:basedOn w:val="Normal"/>
    <w:next w:val="Normal"/>
    <w:uiPriority w:val="39"/>
    <w:rsid w:val="001B6FED"/>
    <w:pPr>
      <w:tabs>
        <w:tab w:val="left" w:pos="180"/>
        <w:tab w:val="right" w:leader="dot" w:pos="9062"/>
      </w:tabs>
      <w:spacing w:before="60" w:after="60"/>
    </w:pPr>
    <w:rPr>
      <w:b/>
      <w:smallCaps/>
      <w:noProof/>
    </w:rPr>
  </w:style>
  <w:style w:type="paragraph" w:styleId="TOC2">
    <w:name w:val="toc 2"/>
    <w:basedOn w:val="Normal"/>
    <w:next w:val="Normal"/>
    <w:autoRedefine/>
    <w:uiPriority w:val="39"/>
    <w:rsid w:val="00786953"/>
    <w:pPr>
      <w:tabs>
        <w:tab w:val="left" w:pos="540"/>
        <w:tab w:val="right" w:leader="dot" w:pos="9062"/>
      </w:tabs>
      <w:ind w:left="540" w:hanging="540"/>
    </w:pPr>
  </w:style>
  <w:style w:type="paragraph" w:styleId="TOC3">
    <w:name w:val="toc 3"/>
    <w:basedOn w:val="Normal"/>
    <w:next w:val="Normal"/>
    <w:autoRedefine/>
    <w:uiPriority w:val="39"/>
    <w:rsid w:val="00786953"/>
    <w:pPr>
      <w:tabs>
        <w:tab w:val="left" w:pos="1080"/>
        <w:tab w:val="right" w:leader="dot" w:pos="9062"/>
      </w:tabs>
      <w:ind w:left="1080" w:hanging="540"/>
    </w:pPr>
    <w:rPr>
      <w:sz w:val="18"/>
    </w:rPr>
  </w:style>
  <w:style w:type="paragraph" w:styleId="TOC4">
    <w:name w:val="toc 4"/>
    <w:basedOn w:val="Normal"/>
    <w:next w:val="Normal"/>
    <w:autoRedefine/>
    <w:uiPriority w:val="39"/>
    <w:rsid w:val="007D4D89"/>
    <w:pPr>
      <w:tabs>
        <w:tab w:val="left" w:pos="2340"/>
        <w:tab w:val="right" w:leader="dot" w:pos="9062"/>
      </w:tabs>
      <w:ind w:left="2340" w:hanging="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BodyTextIndent">
    <w:name w:val="Body Text Indent"/>
    <w:basedOn w:val="Normal"/>
    <w:pPr>
      <w:ind w:left="1440"/>
    </w:pPr>
  </w:style>
  <w:style w:type="paragraph" w:customStyle="1" w:styleId="TableCell">
    <w:name w:val="TableCell"/>
    <w:basedOn w:val="Normal"/>
    <w:pPr>
      <w:spacing w:before="60" w:after="0"/>
      <w:jc w:val="left"/>
    </w:pPr>
    <w:rPr>
      <w:bCs/>
    </w:rPr>
  </w:style>
  <w:style w:type="paragraph" w:styleId="Title">
    <w:name w:val="Title"/>
    <w:basedOn w:val="Normal"/>
    <w:qFormat/>
    <w:rsid w:val="00153924"/>
    <w:pPr>
      <w:jc w:val="center"/>
    </w:pPr>
    <w:rPr>
      <w:b/>
      <w:bCs/>
      <w:sz w:val="40"/>
      <w:szCs w:val="40"/>
    </w:rPr>
  </w:style>
  <w:style w:type="paragraph" w:styleId="Footer">
    <w:name w:val="footer"/>
    <w:basedOn w:val="Normal"/>
    <w:link w:val="FooterChar"/>
    <w:uiPriority w:val="99"/>
    <w:pPr>
      <w:tabs>
        <w:tab w:val="center" w:pos="4536"/>
        <w:tab w:val="right" w:pos="9072"/>
      </w:tabs>
    </w:pPr>
    <w:rPr>
      <w:sz w:val="18"/>
    </w:rPr>
  </w:style>
  <w:style w:type="character" w:styleId="PageNumber">
    <w:name w:val="page number"/>
    <w:basedOn w:val="DefaultParagraphFont"/>
  </w:style>
  <w:style w:type="paragraph" w:styleId="Header">
    <w:name w:val="header"/>
    <w:basedOn w:val="Normal"/>
    <w:rsid w:val="003B7ED0"/>
    <w:pPr>
      <w:tabs>
        <w:tab w:val="center" w:pos="4536"/>
        <w:tab w:val="right" w:pos="9072"/>
      </w:tabs>
      <w:spacing w:before="20" w:after="20"/>
    </w:pPr>
    <w:rPr>
      <w:rFonts w:ascii="Univers 47 CondensedLight" w:hAnsi="Univers 47 CondensedLight"/>
      <w:color w:val="999999"/>
      <w:sz w:val="16"/>
    </w:rPr>
  </w:style>
  <w:style w:type="character" w:styleId="Hyperlink">
    <w:name w:val="Hyperlink"/>
    <w:uiPriority w:val="99"/>
    <w:rPr>
      <w:color w:val="0000FF"/>
      <w:u w:val="single"/>
    </w:rPr>
  </w:style>
  <w:style w:type="paragraph" w:styleId="BodyTextIndent2">
    <w:name w:val="Body Text Indent 2"/>
    <w:basedOn w:val="Normal"/>
    <w:pPr>
      <w:ind w:left="720"/>
    </w:pPr>
  </w:style>
  <w:style w:type="paragraph" w:styleId="BodyText2">
    <w:name w:val="Body Text 2"/>
    <w:aliases w:val="Body Text Dbl space"/>
    <w:basedOn w:val="Normal"/>
    <w:pPr>
      <w:spacing w:line="480" w:lineRule="auto"/>
    </w:pPr>
    <w:rPr>
      <w:snapToGrid w:val="0"/>
      <w:szCs w:val="20"/>
    </w:rPr>
  </w:style>
  <w:style w:type="paragraph" w:styleId="FootnoteText">
    <w:name w:val="footnote text"/>
    <w:basedOn w:val="Normal"/>
    <w:semiHidden/>
    <w:rsid w:val="00A543CE"/>
    <w:pPr>
      <w:spacing w:after="60"/>
    </w:pPr>
    <w:rPr>
      <w:sz w:val="16"/>
      <w:szCs w:val="20"/>
    </w:rPr>
  </w:style>
  <w:style w:type="character" w:styleId="FootnoteReference">
    <w:name w:val="footnote reference"/>
    <w:semiHidden/>
    <w:rPr>
      <w:vertAlign w:val="superscript"/>
    </w:rPr>
  </w:style>
  <w:style w:type="paragraph" w:styleId="DocumentMap">
    <w:name w:val="Document Map"/>
    <w:basedOn w:val="Normal"/>
    <w:semiHidden/>
    <w:pPr>
      <w:shd w:val="clear" w:color="auto" w:fill="000080"/>
    </w:pPr>
    <w:rPr>
      <w:rFonts w:ascii="Tahoma" w:hAnsi="Tahoma" w:cs="Tahoma"/>
    </w:rPr>
  </w:style>
  <w:style w:type="paragraph" w:customStyle="1" w:styleId="TextBox">
    <w:name w:val="Text Box"/>
    <w:basedOn w:val="Normal"/>
    <w:pPr>
      <w:spacing w:after="0"/>
      <w:jc w:val="left"/>
    </w:pPr>
    <w:rPr>
      <w:rFonts w:ascii="Verdana" w:hAnsi="Verdana"/>
      <w:sz w:val="16"/>
      <w:szCs w:val="20"/>
    </w:rPr>
  </w:style>
  <w:style w:type="character" w:styleId="Emphasis">
    <w:name w:val="Emphasis"/>
    <w:qFormat/>
    <w:rPr>
      <w:i/>
      <w:iCs/>
    </w:rPr>
  </w:style>
  <w:style w:type="paragraph" w:customStyle="1" w:styleId="TableHeading">
    <w:name w:val="Table Heading"/>
    <w:basedOn w:val="TableCell"/>
    <w:pPr>
      <w:spacing w:before="0"/>
    </w:pPr>
    <w:rPr>
      <w:b/>
      <w:lang w:val="en-US"/>
    </w:rPr>
  </w:style>
  <w:style w:type="paragraph" w:customStyle="1" w:styleId="TableofTablesHeading">
    <w:name w:val="Table of Tables Heading"/>
    <w:basedOn w:val="Normal"/>
    <w:next w:val="TableofFigures"/>
    <w:pPr>
      <w:pBdr>
        <w:bottom w:val="single" w:sz="4" w:space="1" w:color="auto"/>
      </w:pBdr>
      <w:spacing w:before="120"/>
      <w:jc w:val="left"/>
    </w:pPr>
    <w:rPr>
      <w:b/>
      <w:smallCaps/>
      <w:sz w:val="28"/>
    </w:rPr>
  </w:style>
  <w:style w:type="paragraph" w:styleId="TableofFigures">
    <w:name w:val="table of figures"/>
    <w:aliases w:val="Table of Tables/Figures"/>
    <w:basedOn w:val="Normal"/>
    <w:next w:val="Normal"/>
    <w:uiPriority w:val="99"/>
    <w:rsid w:val="00B704D3"/>
    <w:pPr>
      <w:ind w:left="440" w:hanging="440"/>
    </w:pPr>
    <w:rPr>
      <w:sz w:val="18"/>
    </w:rPr>
  </w:style>
  <w:style w:type="paragraph" w:styleId="CommentText">
    <w:name w:val="annotation text"/>
    <w:basedOn w:val="Normal"/>
    <w:link w:val="CommentTextChar"/>
    <w:semiHidden/>
    <w:pPr>
      <w:spacing w:after="0"/>
    </w:pPr>
    <w:rPr>
      <w:snapToGrid w:val="0"/>
      <w:szCs w:val="20"/>
    </w:rPr>
  </w:style>
  <w:style w:type="paragraph" w:customStyle="1" w:styleId="Tablecellleft">
    <w:name w:val="Table_cell_left"/>
    <w:basedOn w:val="Normal"/>
    <w:pPr>
      <w:spacing w:before="40" w:after="40"/>
    </w:pPr>
    <w:rPr>
      <w:lang w:val="en-US"/>
    </w:rPr>
  </w:style>
  <w:style w:type="character" w:styleId="FollowedHyperlink">
    <w:name w:val="FollowedHyperlink"/>
    <w:rPr>
      <w:color w:val="800080"/>
      <w:u w:val="single"/>
    </w:rPr>
  </w:style>
  <w:style w:type="paragraph" w:styleId="BodyTextIndent3">
    <w:name w:val="Body Text Indent 3"/>
    <w:basedOn w:val="Normal"/>
    <w:pPr>
      <w:ind w:left="720"/>
    </w:pPr>
    <w:rPr>
      <w:i/>
      <w:iCs/>
    </w:rPr>
  </w:style>
  <w:style w:type="paragraph" w:customStyle="1" w:styleId="ListBullet1CharCharChar">
    <w:name w:val="List Bullet 1 Char Char Char"/>
    <w:basedOn w:val="Normal"/>
    <w:link w:val="ListBullet1CharCharCharChar"/>
    <w:rsid w:val="00E95238"/>
    <w:pPr>
      <w:spacing w:before="120" w:after="0"/>
      <w:ind w:left="1276" w:hanging="284"/>
    </w:pPr>
    <w:rPr>
      <w:sz w:val="22"/>
    </w:rPr>
  </w:style>
  <w:style w:type="character" w:customStyle="1" w:styleId="ListBullet1CharCharCharChar">
    <w:name w:val="List Bullet 1 Char Char Char Char"/>
    <w:link w:val="ListBullet1CharCharChar"/>
    <w:rsid w:val="00E95238"/>
    <w:rPr>
      <w:rFonts w:ascii="Arial" w:hAnsi="Arial"/>
      <w:sz w:val="22"/>
      <w:szCs w:val="24"/>
      <w:lang w:val="en-GB" w:eastAsia="en-US" w:bidi="ar-SA"/>
    </w:rPr>
  </w:style>
  <w:style w:type="paragraph" w:customStyle="1" w:styleId="Bullet1">
    <w:name w:val="Bullet1"/>
    <w:basedOn w:val="Normal"/>
    <w:rsid w:val="008E3880"/>
    <w:pPr>
      <w:tabs>
        <w:tab w:val="left" w:pos="360"/>
        <w:tab w:val="num" w:pos="644"/>
      </w:tabs>
      <w:spacing w:before="120"/>
      <w:ind w:left="624" w:right="284" w:hanging="340"/>
    </w:pPr>
    <w:rPr>
      <w:rFonts w:ascii="Trebuchet MS" w:hAnsi="Trebuchet MS"/>
      <w:sz w:val="22"/>
      <w:szCs w:val="20"/>
    </w:rPr>
  </w:style>
  <w:style w:type="paragraph" w:customStyle="1" w:styleId="Bullet2">
    <w:name w:val="Bullet2"/>
    <w:basedOn w:val="Bullet1"/>
    <w:rsid w:val="008E3880"/>
    <w:pPr>
      <w:tabs>
        <w:tab w:val="clear" w:pos="360"/>
        <w:tab w:val="clear" w:pos="644"/>
        <w:tab w:val="left" w:pos="1134"/>
      </w:tabs>
      <w:ind w:left="1491" w:right="0" w:hanging="357"/>
    </w:pPr>
    <w:rPr>
      <w:bCs/>
    </w:rPr>
  </w:style>
  <w:style w:type="paragraph" w:customStyle="1" w:styleId="Heading">
    <w:name w:val="Heading"/>
    <w:basedOn w:val="Heading1"/>
    <w:rsid w:val="008E3880"/>
    <w:pPr>
      <w:keepLines/>
      <w:pageBreakBefore w:val="0"/>
      <w:numPr>
        <w:numId w:val="0"/>
      </w:numPr>
      <w:tabs>
        <w:tab w:val="clear" w:pos="567"/>
      </w:tabs>
      <w:spacing w:before="240"/>
      <w:ind w:right="284"/>
      <w:jc w:val="center"/>
    </w:pPr>
    <w:rPr>
      <w:rFonts w:ascii="Trebuchet MS" w:hAnsi="Trebuchet MS" w:cs="Times New Roman"/>
      <w:bCs w:val="0"/>
      <w:color w:val="003366"/>
      <w:kern w:val="28"/>
      <w:sz w:val="28"/>
      <w:szCs w:val="20"/>
    </w:rPr>
  </w:style>
  <w:style w:type="paragraph" w:styleId="BodyText">
    <w:name w:val="Body Text"/>
    <w:basedOn w:val="Normal"/>
    <w:rsid w:val="00C3084A"/>
    <w:pPr>
      <w:spacing w:after="0"/>
    </w:pPr>
  </w:style>
  <w:style w:type="table" w:styleId="TableGrid">
    <w:name w:val="Table Grid"/>
    <w:basedOn w:val="TableNormal"/>
    <w:rsid w:val="00196E84"/>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Normal"/>
    <w:rsid w:val="00C65A22"/>
    <w:pPr>
      <w:spacing w:before="120" w:after="0"/>
      <w:ind w:left="1276" w:hanging="284"/>
    </w:pPr>
    <w:rPr>
      <w:sz w:val="22"/>
    </w:rPr>
  </w:style>
  <w:style w:type="paragraph" w:styleId="ListBullet2">
    <w:name w:val="List Bullet 2"/>
    <w:basedOn w:val="ListBullet1"/>
    <w:autoRedefine/>
    <w:rsid w:val="00C65A22"/>
    <w:pPr>
      <w:spacing w:before="60"/>
      <w:ind w:left="1701" w:hanging="283"/>
    </w:pPr>
    <w:rPr>
      <w:rFonts w:ascii="Times New Roman" w:hAnsi="Times New Roman"/>
      <w:szCs w:val="20"/>
    </w:rPr>
  </w:style>
  <w:style w:type="character" w:customStyle="1" w:styleId="body">
    <w:name w:val="body"/>
    <w:basedOn w:val="DefaultParagraphFont"/>
    <w:rsid w:val="0090687C"/>
  </w:style>
  <w:style w:type="paragraph" w:customStyle="1" w:styleId="StyleHeader10ptBefore3ptAfter3pt">
    <w:name w:val="Style Header + 10 pt Before:  3 pt After:  3 pt"/>
    <w:basedOn w:val="Header"/>
    <w:rsid w:val="00153924"/>
    <w:pPr>
      <w:spacing w:before="60" w:after="60"/>
    </w:pPr>
    <w:rPr>
      <w:rFonts w:ascii="Arial" w:hAnsi="Arial"/>
      <w:sz w:val="20"/>
      <w:szCs w:val="20"/>
    </w:rPr>
  </w:style>
  <w:style w:type="paragraph" w:styleId="BalloonText">
    <w:name w:val="Balloon Text"/>
    <w:basedOn w:val="Normal"/>
    <w:semiHidden/>
    <w:rsid w:val="000F5132"/>
    <w:rPr>
      <w:rFonts w:ascii="Tahoma" w:hAnsi="Tahoma" w:cs="Tahoma"/>
      <w:sz w:val="16"/>
      <w:szCs w:val="16"/>
    </w:rPr>
  </w:style>
  <w:style w:type="paragraph" w:customStyle="1" w:styleId="Text1Char">
    <w:name w:val="Text 1 Char"/>
    <w:basedOn w:val="Normal"/>
    <w:link w:val="Text1CharChar"/>
    <w:rsid w:val="00121081"/>
    <w:pPr>
      <w:spacing w:after="240"/>
      <w:ind w:left="482"/>
    </w:pPr>
    <w:rPr>
      <w:rFonts w:ascii="Times New Roman" w:hAnsi="Times New Roman"/>
      <w:sz w:val="24"/>
      <w:szCs w:val="20"/>
      <w:lang w:eastAsia="ko-KR"/>
    </w:rPr>
  </w:style>
  <w:style w:type="paragraph" w:customStyle="1" w:styleId="WP-level1">
    <w:name w:val="WP-level 1"/>
    <w:basedOn w:val="Text1Char"/>
    <w:rsid w:val="00121081"/>
    <w:pPr>
      <w:keepNext/>
      <w:widowControl w:val="0"/>
      <w:spacing w:before="30" w:after="30"/>
      <w:ind w:left="34"/>
      <w:jc w:val="left"/>
    </w:pPr>
    <w:rPr>
      <w:b/>
      <w:color w:val="008000"/>
      <w:sz w:val="20"/>
      <w:lang w:eastAsia="en-US"/>
    </w:rPr>
  </w:style>
  <w:style w:type="paragraph" w:customStyle="1" w:styleId="minutes">
    <w:name w:val="minutes"/>
    <w:basedOn w:val="Normal"/>
    <w:rsid w:val="0035628D"/>
    <w:pPr>
      <w:numPr>
        <w:numId w:val="2"/>
      </w:numPr>
      <w:spacing w:after="0"/>
      <w:jc w:val="left"/>
    </w:pPr>
    <w:rPr>
      <w:rFonts w:ascii="Univers 47 CondensedLight" w:hAnsi="Univers 47 CondensedLight" w:cs="Tahoma"/>
    </w:rPr>
  </w:style>
  <w:style w:type="paragraph" w:customStyle="1" w:styleId="ListBullet1Char">
    <w:name w:val="List Bullet 1 Char"/>
    <w:basedOn w:val="Normal"/>
    <w:rsid w:val="00103CFD"/>
    <w:pPr>
      <w:spacing w:before="120" w:after="0"/>
      <w:ind w:left="1276" w:hanging="284"/>
    </w:pPr>
    <w:rPr>
      <w:sz w:val="22"/>
    </w:rPr>
  </w:style>
  <w:style w:type="paragraph" w:customStyle="1" w:styleId="WP-Level2">
    <w:name w:val="WP-Level 2"/>
    <w:basedOn w:val="Text1Char"/>
    <w:rsid w:val="00103CFD"/>
    <w:pPr>
      <w:keepNext/>
      <w:widowControl w:val="0"/>
      <w:spacing w:before="30" w:after="30"/>
      <w:ind w:left="34"/>
      <w:jc w:val="left"/>
    </w:pPr>
    <w:rPr>
      <w:sz w:val="20"/>
      <w:lang w:eastAsia="en-US"/>
    </w:rPr>
  </w:style>
  <w:style w:type="character" w:styleId="CommentReference">
    <w:name w:val="annotation reference"/>
    <w:uiPriority w:val="99"/>
    <w:semiHidden/>
    <w:rsid w:val="00950AE8"/>
    <w:rPr>
      <w:sz w:val="16"/>
      <w:szCs w:val="16"/>
    </w:rPr>
  </w:style>
  <w:style w:type="paragraph" w:styleId="CommentSubject">
    <w:name w:val="annotation subject"/>
    <w:basedOn w:val="CommentText"/>
    <w:next w:val="CommentText"/>
    <w:semiHidden/>
    <w:rsid w:val="00950AE8"/>
    <w:pPr>
      <w:spacing w:after="120"/>
    </w:pPr>
    <w:rPr>
      <w:b/>
      <w:bCs/>
      <w:snapToGrid/>
    </w:rPr>
  </w:style>
  <w:style w:type="character" w:customStyle="1" w:styleId="Text1CharChar">
    <w:name w:val="Text 1 Char Char"/>
    <w:link w:val="Text1Char"/>
    <w:rsid w:val="0039024A"/>
    <w:rPr>
      <w:sz w:val="24"/>
      <w:lang w:val="en-GB" w:eastAsia="ko-KR" w:bidi="ar-SA"/>
    </w:rPr>
  </w:style>
  <w:style w:type="paragraph" w:customStyle="1" w:styleId="sousrubrique">
    <w:name w:val="sous rubrique"/>
    <w:basedOn w:val="Normal"/>
    <w:rsid w:val="001B4878"/>
    <w:pPr>
      <w:numPr>
        <w:numId w:val="3"/>
      </w:numPr>
    </w:pPr>
  </w:style>
  <w:style w:type="paragraph" w:customStyle="1" w:styleId="Table">
    <w:name w:val="Table"/>
    <w:basedOn w:val="Normal"/>
    <w:rsid w:val="00D021D0"/>
    <w:pPr>
      <w:spacing w:before="60" w:after="60"/>
    </w:pPr>
    <w:rPr>
      <w:rFonts w:ascii="Times New Roman" w:hAnsi="Times New Roman"/>
      <w:sz w:val="22"/>
      <w:szCs w:val="20"/>
    </w:rPr>
  </w:style>
  <w:style w:type="paragraph" w:customStyle="1" w:styleId="Text1">
    <w:name w:val="Text 1"/>
    <w:basedOn w:val="Normal"/>
    <w:rsid w:val="00793711"/>
    <w:pPr>
      <w:spacing w:after="240"/>
      <w:ind w:left="482"/>
    </w:pPr>
    <w:rPr>
      <w:rFonts w:ascii="Times New Roman" w:hAnsi="Times New Roman"/>
      <w:sz w:val="24"/>
      <w:szCs w:val="20"/>
    </w:rPr>
  </w:style>
  <w:style w:type="paragraph" w:customStyle="1" w:styleId="CharCharCharChar">
    <w:name w:val="Char Char Char Char"/>
    <w:basedOn w:val="Normal"/>
    <w:autoRedefine/>
    <w:rsid w:val="00992ACF"/>
    <w:pPr>
      <w:spacing w:after="240" w:line="240" w:lineRule="exact"/>
      <w:jc w:val="left"/>
    </w:pPr>
    <w:rPr>
      <w:rFonts w:ascii="Verdana" w:hAnsi="Verdana"/>
      <w:color w:val="666699"/>
      <w:szCs w:val="20"/>
      <w:lang w:val="en-US"/>
    </w:rPr>
  </w:style>
  <w:style w:type="paragraph" w:customStyle="1" w:styleId="Style12ptBoldBottomSinglesolidlineAuto05ptLinew">
    <w:name w:val="Style 12 pt Bold Bottom: (Single solid line Auto  05 pt Line w..."/>
    <w:basedOn w:val="Normal"/>
    <w:rsid w:val="00453172"/>
    <w:pPr>
      <w:pBdr>
        <w:bottom w:val="single" w:sz="4" w:space="1" w:color="808080"/>
      </w:pBdr>
    </w:pPr>
    <w:rPr>
      <w:b/>
      <w:bCs/>
      <w:smallCaps/>
      <w:sz w:val="28"/>
      <w:szCs w:val="20"/>
    </w:rPr>
  </w:style>
  <w:style w:type="paragraph" w:styleId="ListBullet">
    <w:name w:val="List Bullet"/>
    <w:basedOn w:val="Normal"/>
    <w:autoRedefine/>
    <w:rsid w:val="008318E8"/>
    <w:pPr>
      <w:numPr>
        <w:numId w:val="4"/>
      </w:numPr>
    </w:pPr>
  </w:style>
  <w:style w:type="paragraph" w:customStyle="1" w:styleId="CaptionAnnex">
    <w:name w:val="Caption Annex"/>
    <w:basedOn w:val="Caption"/>
    <w:next w:val="Normal"/>
    <w:rsid w:val="00AF19D8"/>
    <w:rPr>
      <w:rFonts w:ascii="Times New Roman" w:hAnsi="Times New Roman"/>
      <w:bCs w:val="0"/>
      <w:i w:val="0"/>
      <w:snapToGrid w:val="0"/>
      <w:sz w:val="24"/>
    </w:rPr>
  </w:style>
  <w:style w:type="paragraph" w:customStyle="1" w:styleId="Char">
    <w:name w:val="Char"/>
    <w:basedOn w:val="Normal"/>
    <w:rsid w:val="00C8402D"/>
    <w:pPr>
      <w:spacing w:after="160" w:line="240" w:lineRule="exact"/>
      <w:jc w:val="left"/>
    </w:pPr>
    <w:rPr>
      <w:rFonts w:ascii="Verdana" w:hAnsi="Verdana"/>
      <w:szCs w:val="20"/>
      <w:lang w:val="en-US"/>
    </w:rPr>
  </w:style>
  <w:style w:type="character" w:customStyle="1" w:styleId="CaptionChar">
    <w:name w:val="Caption Char"/>
    <w:aliases w:val=" Char Char Char Char1, Char Char Char Char Char1, Char Char Char Char Char Char1, Char Char Char Char Char Char Char, Char Char Char Char Char1 Char Char1,Caption Char1 Char, Char Char Char Char Char1 Char Char Char,Char Char Char Char1"/>
    <w:link w:val="Caption"/>
    <w:rsid w:val="00CE50F5"/>
    <w:rPr>
      <w:rFonts w:ascii="Arial" w:hAnsi="Arial"/>
      <w:bCs/>
      <w:i/>
      <w:sz w:val="18"/>
      <w:lang w:val="en-GB" w:eastAsia="en-US" w:bidi="ar-SA"/>
    </w:rPr>
  </w:style>
  <w:style w:type="paragraph" w:customStyle="1" w:styleId="CharCharCharCharCharCharCharCharCharCharCharCharChar">
    <w:name w:val="Char Char Char Char Char Char Char Char Char Char Char Char Char"/>
    <w:basedOn w:val="Normal"/>
    <w:autoRedefine/>
    <w:rsid w:val="00504BD4"/>
    <w:pPr>
      <w:spacing w:after="240" w:line="240" w:lineRule="exact"/>
      <w:jc w:val="left"/>
    </w:pPr>
    <w:rPr>
      <w:rFonts w:ascii="Verdana" w:hAnsi="Verdana"/>
      <w:szCs w:val="20"/>
      <w:lang w:val="en-US"/>
    </w:rPr>
  </w:style>
  <w:style w:type="paragraph" w:customStyle="1" w:styleId="StyleCaption">
    <w:name w:val="Style Caption"/>
    <w:basedOn w:val="Caption"/>
    <w:link w:val="StyleCaptionChar"/>
    <w:rsid w:val="00597C39"/>
    <w:rPr>
      <w:iCs/>
      <w:sz w:val="20"/>
      <w:szCs w:val="24"/>
    </w:rPr>
  </w:style>
  <w:style w:type="character" w:customStyle="1" w:styleId="StyleCaptionChar">
    <w:name w:val="Style Caption Char"/>
    <w:link w:val="StyleCaption"/>
    <w:rsid w:val="00597C39"/>
    <w:rPr>
      <w:rFonts w:ascii="Arial" w:hAnsi="Arial"/>
      <w:bCs/>
      <w:i/>
      <w:iCs/>
      <w:szCs w:val="24"/>
      <w:lang w:val="en-GB" w:eastAsia="en-US" w:bidi="ar-SA"/>
    </w:rPr>
  </w:style>
  <w:style w:type="character" w:customStyle="1" w:styleId="CommentTextChar">
    <w:name w:val="Comment Text Char"/>
    <w:link w:val="CommentText"/>
    <w:semiHidden/>
    <w:rsid w:val="00ED5C07"/>
    <w:rPr>
      <w:rFonts w:ascii="Arial" w:hAnsi="Arial"/>
      <w:snapToGrid w:val="0"/>
      <w:lang w:eastAsia="en-US"/>
    </w:rPr>
  </w:style>
  <w:style w:type="character" w:customStyle="1" w:styleId="CharChar">
    <w:name w:val="Char Char"/>
    <w:rsid w:val="00C55E4B"/>
    <w:rPr>
      <w:rFonts w:ascii="Arial" w:hAnsi="Arial"/>
      <w:bCs/>
      <w:i/>
      <w:sz w:val="18"/>
      <w:lang w:val="en-GB" w:eastAsia="en-US" w:bidi="ar-SA"/>
    </w:rPr>
  </w:style>
  <w:style w:type="paragraph" w:styleId="NormalWeb">
    <w:name w:val="Normal (Web)"/>
    <w:basedOn w:val="Normal"/>
    <w:uiPriority w:val="99"/>
    <w:rsid w:val="00BC3BE9"/>
    <w:pPr>
      <w:spacing w:before="100" w:beforeAutospacing="1" w:after="100" w:afterAutospacing="1"/>
      <w:jc w:val="left"/>
    </w:pPr>
    <w:rPr>
      <w:rFonts w:ascii="Times New Roman" w:hAnsi="Times New Roman"/>
      <w:sz w:val="24"/>
      <w:lang w:val="fr-FR" w:eastAsia="fr-FR"/>
    </w:rPr>
  </w:style>
  <w:style w:type="paragraph" w:customStyle="1" w:styleId="TableText">
    <w:name w:val="Table Text"/>
    <w:rsid w:val="00AE1A87"/>
    <w:rPr>
      <w:rFonts w:ascii="Arial" w:hAnsi="Arial"/>
      <w:szCs w:val="24"/>
      <w:lang w:eastAsia="en-US"/>
    </w:rPr>
  </w:style>
  <w:style w:type="paragraph" w:customStyle="1" w:styleId="TableTextBold">
    <w:name w:val="Table Text Bold"/>
    <w:rsid w:val="00AE1A87"/>
    <w:rPr>
      <w:rFonts w:ascii="Arial" w:hAnsi="Arial"/>
      <w:b/>
      <w:szCs w:val="24"/>
      <w:lang w:eastAsia="en-US"/>
    </w:rPr>
  </w:style>
  <w:style w:type="paragraph" w:customStyle="1" w:styleId="styletableau">
    <w:name w:val="style tableau"/>
    <w:basedOn w:val="TableCell"/>
    <w:rsid w:val="00D30D61"/>
    <w:pPr>
      <w:spacing w:beforeLines="20" w:afterLines="20"/>
      <w:ind w:left="113" w:right="180"/>
    </w:pPr>
    <w:rPr>
      <w:rFonts w:cs="Arial"/>
      <w:sz w:val="18"/>
      <w:szCs w:val="18"/>
    </w:rPr>
  </w:style>
  <w:style w:type="paragraph" w:customStyle="1" w:styleId="emcsbodytext">
    <w:name w:val="emcs_body_text"/>
    <w:link w:val="emcsbodytextCar"/>
    <w:rsid w:val="00F2213A"/>
    <w:pPr>
      <w:widowControl w:val="0"/>
      <w:spacing w:before="120"/>
      <w:ind w:left="567"/>
      <w:jc w:val="both"/>
    </w:pPr>
    <w:rPr>
      <w:sz w:val="24"/>
      <w:lang w:eastAsia="en-US"/>
    </w:rPr>
  </w:style>
  <w:style w:type="character" w:customStyle="1" w:styleId="emcsbodytextCar">
    <w:name w:val="emcs_body_text Car"/>
    <w:link w:val="emcsbodytext"/>
    <w:rsid w:val="00F2213A"/>
    <w:rPr>
      <w:sz w:val="24"/>
      <w:lang w:val="en-GB" w:eastAsia="en-US" w:bidi="ar-SA"/>
    </w:rPr>
  </w:style>
  <w:style w:type="character" w:styleId="Strong">
    <w:name w:val="Strong"/>
    <w:qFormat/>
    <w:rsid w:val="00F2213A"/>
    <w:rPr>
      <w:b/>
      <w:bCs/>
    </w:rPr>
  </w:style>
  <w:style w:type="paragraph" w:customStyle="1" w:styleId="Table10">
    <w:name w:val="Table 10"/>
    <w:rsid w:val="009766E1"/>
    <w:pPr>
      <w:tabs>
        <w:tab w:val="left" w:pos="567"/>
        <w:tab w:val="left" w:pos="1134"/>
        <w:tab w:val="left" w:pos="1701"/>
      </w:tabs>
      <w:spacing w:before="40" w:after="40"/>
    </w:pPr>
    <w:rPr>
      <w:lang w:eastAsia="en-US"/>
    </w:rPr>
  </w:style>
  <w:style w:type="paragraph" w:customStyle="1" w:styleId="BodyText0">
    <w:name w:val="BodyText"/>
    <w:basedOn w:val="ListNumber3"/>
    <w:qFormat/>
    <w:rsid w:val="0097306B"/>
    <w:pPr>
      <w:tabs>
        <w:tab w:val="clear" w:pos="720"/>
      </w:tabs>
      <w:spacing w:before="120" w:after="0"/>
      <w:ind w:left="0" w:firstLine="0"/>
      <w:jc w:val="left"/>
    </w:pPr>
    <w:rPr>
      <w:rFonts w:eastAsia="Calibri"/>
      <w:sz w:val="22"/>
      <w:szCs w:val="22"/>
    </w:rPr>
  </w:style>
  <w:style w:type="paragraph" w:styleId="ListNumber3">
    <w:name w:val="List Number 3"/>
    <w:basedOn w:val="Normal"/>
    <w:rsid w:val="0097306B"/>
    <w:pPr>
      <w:tabs>
        <w:tab w:val="num" w:pos="720"/>
      </w:tabs>
      <w:ind w:left="720" w:hanging="360"/>
      <w:contextualSpacing/>
    </w:pPr>
  </w:style>
  <w:style w:type="paragraph" w:customStyle="1" w:styleId="StyleBoldLeftLinespacing15lines">
    <w:name w:val="Style Bold Left Line spacing:  1.5 lines"/>
    <w:basedOn w:val="Normal"/>
    <w:rsid w:val="00453172"/>
    <w:pPr>
      <w:spacing w:line="360" w:lineRule="auto"/>
      <w:jc w:val="left"/>
    </w:pPr>
    <w:rPr>
      <w:b/>
      <w:bCs/>
      <w:szCs w:val="20"/>
    </w:rPr>
  </w:style>
  <w:style w:type="paragraph" w:styleId="Revision">
    <w:name w:val="Revision"/>
    <w:hidden/>
    <w:uiPriority w:val="99"/>
    <w:semiHidden/>
    <w:rsid w:val="00BB771F"/>
    <w:rPr>
      <w:rFonts w:ascii="Arial" w:hAnsi="Arial"/>
      <w:szCs w:val="24"/>
      <w:lang w:eastAsia="en-US"/>
    </w:rPr>
  </w:style>
  <w:style w:type="character" w:customStyle="1" w:styleId="Heading3Char">
    <w:name w:val="Heading 3 Char"/>
    <w:aliases w:val="Headline 3 Char,h3 Char,h31 Char,h32 Char,H3 Char,H31 Char Char1,H31 Char Char Char,H31 Char1,Proposa Char,Heading 4 Proposal Char,DNV-H3 Char,3 Char,summit Char,3m Char,Paragraaf Char,head 3 Char,header3 Char,head 31 Char,header31 Char"/>
    <w:link w:val="Heading3"/>
    <w:rsid w:val="00A951A5"/>
    <w:rPr>
      <w:rFonts w:ascii="Arial" w:eastAsia="Calibri" w:hAnsi="Arial" w:cs="Arial"/>
      <w:b/>
      <w:bCs/>
      <w:smallCaps/>
      <w:sz w:val="28"/>
      <w:szCs w:val="22"/>
      <w:lang w:eastAsia="en-US"/>
    </w:rPr>
  </w:style>
  <w:style w:type="character" w:customStyle="1" w:styleId="Heading4Char">
    <w:name w:val="Heading 4 Char"/>
    <w:aliases w:val="Heading 4 Char Char Char1,Heading 4 Char1 Char1,Heading 4 Char Char Char Char,Heading 4 Char1 Char Char,Heading 4 Char Char1 Char,H4 Char,4 Char,Propos Char,DNV-H4 Char,h4 Char,h4 sub sub heading Char,Sub Sub Paragraph Char,Para 4 Char"/>
    <w:link w:val="Heading4"/>
    <w:rsid w:val="00797FE4"/>
    <w:rPr>
      <w:rFonts w:ascii="Arial" w:hAnsi="Arial"/>
      <w:b/>
      <w:bCs/>
      <w:sz w:val="24"/>
      <w:szCs w:val="28"/>
      <w:lang w:eastAsia="en-US"/>
    </w:rPr>
  </w:style>
  <w:style w:type="character" w:customStyle="1" w:styleId="emcsitalic">
    <w:name w:val="emcs_italic"/>
    <w:rsid w:val="004E417F"/>
    <w:rPr>
      <w:i/>
    </w:rPr>
  </w:style>
  <w:style w:type="character" w:customStyle="1" w:styleId="emcsbodytextChar">
    <w:name w:val="emcs_body_text Char"/>
    <w:rsid w:val="00E82DC5"/>
    <w:rPr>
      <w:sz w:val="24"/>
      <w:lang w:val="en-GB" w:eastAsia="en-US" w:bidi="ar-SA"/>
    </w:rPr>
  </w:style>
  <w:style w:type="paragraph" w:customStyle="1" w:styleId="Tablecellstyle">
    <w:name w:val="Tablecellstyle"/>
    <w:basedOn w:val="Normal"/>
    <w:rsid w:val="00D40F29"/>
    <w:pPr>
      <w:keepNext/>
      <w:spacing w:before="40" w:after="40"/>
      <w:ind w:left="43"/>
      <w:jc w:val="left"/>
    </w:pPr>
    <w:rPr>
      <w:sz w:val="18"/>
      <w:szCs w:val="20"/>
    </w:rPr>
  </w:style>
  <w:style w:type="paragraph" w:styleId="ListParagraph">
    <w:name w:val="List Paragraph"/>
    <w:basedOn w:val="Normal"/>
    <w:uiPriority w:val="34"/>
    <w:qFormat/>
    <w:rsid w:val="004D15C9"/>
    <w:pPr>
      <w:ind w:left="720"/>
      <w:contextualSpacing/>
    </w:pPr>
    <w:rPr>
      <w:rFonts w:eastAsia="PMingLiU"/>
    </w:rPr>
  </w:style>
  <w:style w:type="paragraph" w:styleId="HTMLPreformatted">
    <w:name w:val="HTML Preformatted"/>
    <w:basedOn w:val="Normal"/>
    <w:link w:val="HTMLPreformattedChar"/>
    <w:uiPriority w:val="99"/>
    <w:unhideWhenUsed/>
    <w:rsid w:val="00B55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lang w:eastAsia="en-GB"/>
    </w:rPr>
  </w:style>
  <w:style w:type="character" w:customStyle="1" w:styleId="HTMLPreformattedChar">
    <w:name w:val="HTML Preformatted Char"/>
    <w:link w:val="HTMLPreformatted"/>
    <w:uiPriority w:val="99"/>
    <w:rsid w:val="00B55568"/>
    <w:rPr>
      <w:rFonts w:ascii="Courier New" w:hAnsi="Courier New" w:cs="Courier New"/>
    </w:rPr>
  </w:style>
  <w:style w:type="table" w:customStyle="1" w:styleId="GridTable5Dark-Accent41">
    <w:name w:val="Grid Table 5 Dark - Accent 41"/>
    <w:basedOn w:val="TableNormal"/>
    <w:uiPriority w:val="50"/>
    <w:rsid w:val="00E75D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FooterChar">
    <w:name w:val="Footer Char"/>
    <w:basedOn w:val="DefaultParagraphFont"/>
    <w:link w:val="Footer"/>
    <w:uiPriority w:val="99"/>
    <w:rsid w:val="005A3B41"/>
    <w:rPr>
      <w:rFonts w:ascii="Arial" w:hAnsi="Arial"/>
      <w:sz w:val="18"/>
      <w:szCs w:val="24"/>
      <w:lang w:eastAsia="en-US"/>
    </w:rPr>
  </w:style>
  <w:style w:type="character" w:customStyle="1" w:styleId="Mention1">
    <w:name w:val="Mention1"/>
    <w:basedOn w:val="DefaultParagraphFont"/>
    <w:uiPriority w:val="99"/>
    <w:semiHidden/>
    <w:unhideWhenUsed/>
    <w:rsid w:val="00AD3A80"/>
    <w:rPr>
      <w:color w:val="2B579A"/>
      <w:shd w:val="clear" w:color="auto" w:fill="E6E6E6"/>
    </w:rPr>
  </w:style>
  <w:style w:type="character" w:customStyle="1" w:styleId="UnresolvedMention1">
    <w:name w:val="Unresolved Mention1"/>
    <w:basedOn w:val="DefaultParagraphFont"/>
    <w:uiPriority w:val="99"/>
    <w:semiHidden/>
    <w:unhideWhenUsed/>
    <w:rsid w:val="00E24FF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335"/>
    <w:pPr>
      <w:spacing w:after="120"/>
      <w:jc w:val="both"/>
    </w:pPr>
    <w:rPr>
      <w:rFonts w:ascii="Arial" w:hAnsi="Arial"/>
      <w:szCs w:val="24"/>
      <w:lang w:eastAsia="en-US"/>
    </w:rPr>
  </w:style>
  <w:style w:type="paragraph" w:styleId="Heading1">
    <w:name w:val="heading 1"/>
    <w:aliases w:val="Heading 1 Char,Heading 1 Char1 Char,Headline 1 Char1 Char,Heading 1 Char Char Char,Headline 1 Char Char Char,Heading 1 Char1,Headline 1 Char1,Heading 1 Char Char,Headline 1 Char Char,Headline 1 Char,Headline 1,h1,Hoofdstuk,Section Heading,Para"/>
    <w:basedOn w:val="Normal"/>
    <w:next w:val="Normal"/>
    <w:link w:val="Heading1Char2"/>
    <w:qFormat/>
    <w:pPr>
      <w:keepNext/>
      <w:pageBreakBefore/>
      <w:numPr>
        <w:numId w:val="1"/>
      </w:numPr>
      <w:tabs>
        <w:tab w:val="left" w:pos="567"/>
      </w:tabs>
      <w:spacing w:before="600" w:after="240"/>
      <w:outlineLvl w:val="0"/>
    </w:pPr>
    <w:rPr>
      <w:rFonts w:cs="Arial"/>
      <w:b/>
      <w:bCs/>
      <w:caps/>
      <w:kern w:val="32"/>
      <w:sz w:val="32"/>
      <w:szCs w:val="32"/>
    </w:rPr>
  </w:style>
  <w:style w:type="paragraph" w:styleId="Heading2">
    <w:name w:val="heading 2"/>
    <w:aliases w:val="Heading 2 Char,Heading 2 Char1 Char,Headline 2 Char1 Char,h2 Char1 Char,2 Char1 Char,headi Char1 Char,heading2 Char1 Char,h21 Char1 Char,h22 Char1 Char,21 Char1 Char,H2 Char1 Char,l2 Char1 Char,kopregel 2 Char1 Char,Titre m Char1 Char,h2 Char1"/>
    <w:basedOn w:val="Normal"/>
    <w:next w:val="Normal"/>
    <w:link w:val="Heading2Char1"/>
    <w:qFormat/>
    <w:pPr>
      <w:keepNext/>
      <w:numPr>
        <w:ilvl w:val="1"/>
        <w:numId w:val="1"/>
      </w:numPr>
      <w:spacing w:before="240" w:after="240"/>
      <w:outlineLvl w:val="1"/>
    </w:pPr>
    <w:rPr>
      <w:rFonts w:cs="Arial"/>
      <w:b/>
      <w:bCs/>
      <w:iCs/>
      <w:smallCaps/>
      <w:sz w:val="32"/>
      <w:szCs w:val="28"/>
    </w:rPr>
  </w:style>
  <w:style w:type="paragraph" w:styleId="Heading3">
    <w:name w:val="heading 3"/>
    <w:aliases w:val="Headline 3,h3,h31,h32,H3,H31 Char,H31 Char Char,H31,Proposa,Heading 4 Proposal,DNV-H3,3,summit,3m,Paragraaf,head 3,header3,head 31,header31,head 32,header32,h33,head 33,header33,h311,head 311,header311,h321,head 321,header321,h34,head 34,h312"/>
    <w:basedOn w:val="Normal"/>
    <w:next w:val="Normal"/>
    <w:link w:val="Heading3Char"/>
    <w:qFormat/>
    <w:rsid w:val="00A951A5"/>
    <w:pPr>
      <w:keepNext/>
      <w:numPr>
        <w:ilvl w:val="2"/>
        <w:numId w:val="1"/>
      </w:numPr>
      <w:spacing w:before="240"/>
      <w:outlineLvl w:val="2"/>
    </w:pPr>
    <w:rPr>
      <w:rFonts w:eastAsia="Calibri" w:cs="Arial"/>
      <w:b/>
      <w:bCs/>
      <w:smallCaps/>
      <w:sz w:val="28"/>
      <w:szCs w:val="22"/>
    </w:rPr>
  </w:style>
  <w:style w:type="paragraph" w:styleId="Heading4">
    <w:name w:val="heading 4"/>
    <w:aliases w:val="Heading 4 Char Char,Heading 4 Char1,Heading 4 Char Char Char,Heading 4 Char1 Char,Heading 4 Char Char1,H4,4,Propos,DNV-H4,h4,h4 sub sub heading,Sub Sub Paragraph,Heading 4 CFMU,Para 4,chapitre 1.1.1.1,Contrat 4,Sub-paragraph,Heading 4(war),h41"/>
    <w:basedOn w:val="Normal"/>
    <w:next w:val="Normal"/>
    <w:link w:val="Heading4Char"/>
    <w:qFormat/>
    <w:rsid w:val="00525868"/>
    <w:pPr>
      <w:keepNext/>
      <w:numPr>
        <w:ilvl w:val="3"/>
        <w:numId w:val="1"/>
      </w:numPr>
      <w:spacing w:before="120"/>
      <w:outlineLvl w:val="3"/>
    </w:pPr>
    <w:rPr>
      <w:b/>
      <w:bCs/>
      <w:sz w:val="24"/>
      <w:szCs w:val="28"/>
    </w:rPr>
  </w:style>
  <w:style w:type="paragraph" w:styleId="Heading5">
    <w:name w:val="heading 5"/>
    <w:aliases w:val="Heading 5 CFMU,Para 5,h5,H5,Heading 5(war),DNV-H5,Block Label,Heading 5 Char Char,object/synopsis"/>
    <w:basedOn w:val="Normal"/>
    <w:next w:val="Normal"/>
    <w:qFormat/>
    <w:rsid w:val="00337730"/>
    <w:pPr>
      <w:numPr>
        <w:ilvl w:val="4"/>
        <w:numId w:val="1"/>
      </w:numPr>
      <w:spacing w:before="200"/>
      <w:outlineLvl w:val="4"/>
    </w:pPr>
    <w:rPr>
      <w:bCs/>
      <w:i/>
      <w:iCs/>
      <w:szCs w:val="26"/>
    </w:rPr>
  </w:style>
  <w:style w:type="paragraph" w:styleId="Heading6">
    <w:name w:val="heading 6"/>
    <w:aliases w:val="Heading 6 Char,H6,DNV-H6,6,Heading 6 CFMU,h6"/>
    <w:basedOn w:val="Normal"/>
    <w:next w:val="Normal"/>
    <w:qFormat/>
    <w:rsid w:val="00244B54"/>
    <w:pPr>
      <w:numPr>
        <w:ilvl w:val="5"/>
        <w:numId w:val="1"/>
      </w:numPr>
      <w:tabs>
        <w:tab w:val="clear" w:pos="1692"/>
      </w:tabs>
      <w:spacing w:before="240" w:after="60"/>
      <w:ind w:left="1151" w:hanging="1151"/>
      <w:outlineLvl w:val="5"/>
    </w:pPr>
    <w:rPr>
      <w:b/>
      <w:bCs/>
      <w:sz w:val="22"/>
      <w:szCs w:val="22"/>
    </w:rPr>
  </w:style>
  <w:style w:type="paragraph" w:styleId="Heading7">
    <w:name w:val="heading 7"/>
    <w:aliases w:val="DNV-H7,Heading 7 CFMU,h7"/>
    <w:basedOn w:val="Normal"/>
    <w:next w:val="Normal"/>
    <w:qFormat/>
    <w:pPr>
      <w:numPr>
        <w:ilvl w:val="6"/>
        <w:numId w:val="1"/>
      </w:numPr>
      <w:spacing w:before="240" w:after="60"/>
      <w:outlineLvl w:val="6"/>
    </w:pPr>
  </w:style>
  <w:style w:type="paragraph" w:styleId="Heading8">
    <w:name w:val="heading 8"/>
    <w:aliases w:val="DNV-H8,Überschrift 88,Heading 8 CFMU,h8"/>
    <w:basedOn w:val="Normal"/>
    <w:next w:val="Normal"/>
    <w:qFormat/>
    <w:pPr>
      <w:numPr>
        <w:ilvl w:val="7"/>
        <w:numId w:val="1"/>
      </w:numPr>
      <w:spacing w:before="240" w:after="60"/>
      <w:outlineLvl w:val="7"/>
    </w:pPr>
    <w:rPr>
      <w:i/>
      <w:iCs/>
    </w:rPr>
  </w:style>
  <w:style w:type="paragraph" w:styleId="Heading9">
    <w:name w:val="heading 9"/>
    <w:aliases w:val="DNV-H9,Heading 9 CFMU,h9"/>
    <w:basedOn w:val="Normal"/>
    <w:next w:val="Normal"/>
    <w:qFormat/>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1 Char Char1,Heading 1 Char1 Char Char,Headline 1 Char1 Char Char,Heading 1 Char Char Char Char,Headline 1 Char Char Char Char,Heading 1 Char1 Char1,Headline 1 Char1 Char1,Heading 1 Char Char Char1,Headline 1 Char Char Char1"/>
    <w:link w:val="Heading1"/>
    <w:rsid w:val="0035628D"/>
    <w:rPr>
      <w:rFonts w:ascii="Arial" w:hAnsi="Arial" w:cs="Arial"/>
      <w:b/>
      <w:bCs/>
      <w:caps/>
      <w:kern w:val="32"/>
      <w:sz w:val="32"/>
      <w:szCs w:val="32"/>
      <w:lang w:eastAsia="en-US"/>
    </w:rPr>
  </w:style>
  <w:style w:type="character" w:customStyle="1" w:styleId="Heading2Char1">
    <w:name w:val="Heading 2 Char1"/>
    <w:aliases w:val="Heading 2 Char Char,Heading 2 Char1 Char Char,Headline 2 Char1 Char Char,h2 Char1 Char Char,2 Char1 Char Char,headi Char1 Char Char,heading2 Char1 Char Char,h21 Char1 Char Char,h22 Char1 Char Char,21 Char1 Char Char,H2 Char1 Char Char"/>
    <w:link w:val="Heading2"/>
    <w:rsid w:val="0035628D"/>
    <w:rPr>
      <w:rFonts w:ascii="Arial" w:hAnsi="Arial" w:cs="Arial"/>
      <w:b/>
      <w:bCs/>
      <w:iCs/>
      <w:smallCaps/>
      <w:sz w:val="32"/>
      <w:szCs w:val="28"/>
      <w:lang w:eastAsia="en-US"/>
    </w:rPr>
  </w:style>
  <w:style w:type="paragraph" w:customStyle="1" w:styleId="NormalText">
    <w:name w:val="NormalText"/>
    <w:basedOn w:val="Normal"/>
    <w:pPr>
      <w:spacing w:before="120"/>
    </w:pPr>
    <w:rPr>
      <w:rFonts w:ascii="BBEHIZ+Palatino-Roman" w:hAnsi="BBEHIZ+Palatino-Roman"/>
      <w:sz w:val="22"/>
      <w:szCs w:val="20"/>
    </w:rPr>
  </w:style>
  <w:style w:type="paragraph" w:styleId="NormalIndent">
    <w:name w:val="Normal Indent"/>
    <w:basedOn w:val="Normal"/>
    <w:pPr>
      <w:spacing w:after="240"/>
      <w:ind w:left="720"/>
    </w:pPr>
    <w:rPr>
      <w:sz w:val="22"/>
      <w:szCs w:val="20"/>
      <w:lang w:val="en-IE"/>
    </w:rPr>
  </w:style>
  <w:style w:type="paragraph" w:styleId="BodyText3">
    <w:name w:val="Body Text 3"/>
    <w:basedOn w:val="Normal"/>
    <w:pPr>
      <w:tabs>
        <w:tab w:val="left" w:pos="1134"/>
        <w:tab w:val="left" w:pos="1701"/>
        <w:tab w:val="left" w:pos="2268"/>
      </w:tabs>
      <w:spacing w:before="120"/>
      <w:ind w:right="-1"/>
    </w:pPr>
    <w:rPr>
      <w:szCs w:val="20"/>
      <w:lang w:eastAsia="fr-FR"/>
    </w:rPr>
  </w:style>
  <w:style w:type="paragraph" w:styleId="Caption">
    <w:name w:val="caption"/>
    <w:aliases w:val=" Char Char Char, Char Char Char Char, Char Char Char Char Char, Char Char Char Char Char Char, Char Char Char Char Char1 Char,Caption Char1, Char Char Char Char Char1 Char Char,Char Char Char,Char Char Char Char Char Char"/>
    <w:basedOn w:val="Normal"/>
    <w:next w:val="Normal"/>
    <w:link w:val="CaptionChar"/>
    <w:qFormat/>
    <w:rsid w:val="00552019"/>
    <w:pPr>
      <w:spacing w:before="120"/>
      <w:jc w:val="center"/>
    </w:pPr>
    <w:rPr>
      <w:bCs/>
      <w:i/>
      <w:sz w:val="18"/>
      <w:szCs w:val="20"/>
    </w:rPr>
  </w:style>
  <w:style w:type="paragraph" w:styleId="TOC1">
    <w:name w:val="toc 1"/>
    <w:basedOn w:val="Normal"/>
    <w:next w:val="Normal"/>
    <w:uiPriority w:val="39"/>
    <w:rsid w:val="001B6FED"/>
    <w:pPr>
      <w:tabs>
        <w:tab w:val="left" w:pos="180"/>
        <w:tab w:val="right" w:leader="dot" w:pos="9062"/>
      </w:tabs>
      <w:spacing w:before="60" w:after="60"/>
    </w:pPr>
    <w:rPr>
      <w:b/>
      <w:smallCaps/>
      <w:noProof/>
    </w:rPr>
  </w:style>
  <w:style w:type="paragraph" w:styleId="TOC2">
    <w:name w:val="toc 2"/>
    <w:basedOn w:val="Normal"/>
    <w:next w:val="Normal"/>
    <w:autoRedefine/>
    <w:uiPriority w:val="39"/>
    <w:rsid w:val="00786953"/>
    <w:pPr>
      <w:tabs>
        <w:tab w:val="left" w:pos="540"/>
        <w:tab w:val="right" w:leader="dot" w:pos="9062"/>
      </w:tabs>
      <w:ind w:left="540" w:hanging="540"/>
    </w:pPr>
  </w:style>
  <w:style w:type="paragraph" w:styleId="TOC3">
    <w:name w:val="toc 3"/>
    <w:basedOn w:val="Normal"/>
    <w:next w:val="Normal"/>
    <w:autoRedefine/>
    <w:uiPriority w:val="39"/>
    <w:rsid w:val="00786953"/>
    <w:pPr>
      <w:tabs>
        <w:tab w:val="left" w:pos="1080"/>
        <w:tab w:val="right" w:leader="dot" w:pos="9062"/>
      </w:tabs>
      <w:ind w:left="1080" w:hanging="540"/>
    </w:pPr>
    <w:rPr>
      <w:sz w:val="18"/>
    </w:rPr>
  </w:style>
  <w:style w:type="paragraph" w:styleId="TOC4">
    <w:name w:val="toc 4"/>
    <w:basedOn w:val="Normal"/>
    <w:next w:val="Normal"/>
    <w:autoRedefine/>
    <w:uiPriority w:val="39"/>
    <w:rsid w:val="007D4D89"/>
    <w:pPr>
      <w:tabs>
        <w:tab w:val="left" w:pos="2340"/>
        <w:tab w:val="right" w:leader="dot" w:pos="9062"/>
      </w:tabs>
      <w:ind w:left="2340" w:hanging="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BodyTextIndent">
    <w:name w:val="Body Text Indent"/>
    <w:basedOn w:val="Normal"/>
    <w:pPr>
      <w:ind w:left="1440"/>
    </w:pPr>
  </w:style>
  <w:style w:type="paragraph" w:customStyle="1" w:styleId="TableCell">
    <w:name w:val="TableCell"/>
    <w:basedOn w:val="Normal"/>
    <w:pPr>
      <w:spacing w:before="60" w:after="0"/>
      <w:jc w:val="left"/>
    </w:pPr>
    <w:rPr>
      <w:bCs/>
    </w:rPr>
  </w:style>
  <w:style w:type="paragraph" w:styleId="Title">
    <w:name w:val="Title"/>
    <w:basedOn w:val="Normal"/>
    <w:qFormat/>
    <w:rsid w:val="00153924"/>
    <w:pPr>
      <w:jc w:val="center"/>
    </w:pPr>
    <w:rPr>
      <w:b/>
      <w:bCs/>
      <w:sz w:val="40"/>
      <w:szCs w:val="40"/>
    </w:rPr>
  </w:style>
  <w:style w:type="paragraph" w:styleId="Footer">
    <w:name w:val="footer"/>
    <w:basedOn w:val="Normal"/>
    <w:link w:val="FooterChar"/>
    <w:uiPriority w:val="99"/>
    <w:pPr>
      <w:tabs>
        <w:tab w:val="center" w:pos="4536"/>
        <w:tab w:val="right" w:pos="9072"/>
      </w:tabs>
    </w:pPr>
    <w:rPr>
      <w:sz w:val="18"/>
    </w:rPr>
  </w:style>
  <w:style w:type="character" w:styleId="PageNumber">
    <w:name w:val="page number"/>
    <w:basedOn w:val="DefaultParagraphFont"/>
  </w:style>
  <w:style w:type="paragraph" w:styleId="Header">
    <w:name w:val="header"/>
    <w:basedOn w:val="Normal"/>
    <w:rsid w:val="003B7ED0"/>
    <w:pPr>
      <w:tabs>
        <w:tab w:val="center" w:pos="4536"/>
        <w:tab w:val="right" w:pos="9072"/>
      </w:tabs>
      <w:spacing w:before="20" w:after="20"/>
    </w:pPr>
    <w:rPr>
      <w:rFonts w:ascii="Univers 47 CondensedLight" w:hAnsi="Univers 47 CondensedLight"/>
      <w:color w:val="999999"/>
      <w:sz w:val="16"/>
    </w:rPr>
  </w:style>
  <w:style w:type="character" w:styleId="Hyperlink">
    <w:name w:val="Hyperlink"/>
    <w:uiPriority w:val="99"/>
    <w:rPr>
      <w:color w:val="0000FF"/>
      <w:u w:val="single"/>
    </w:rPr>
  </w:style>
  <w:style w:type="paragraph" w:styleId="BodyTextIndent2">
    <w:name w:val="Body Text Indent 2"/>
    <w:basedOn w:val="Normal"/>
    <w:pPr>
      <w:ind w:left="720"/>
    </w:pPr>
  </w:style>
  <w:style w:type="paragraph" w:styleId="BodyText2">
    <w:name w:val="Body Text 2"/>
    <w:aliases w:val="Body Text Dbl space"/>
    <w:basedOn w:val="Normal"/>
    <w:pPr>
      <w:spacing w:line="480" w:lineRule="auto"/>
    </w:pPr>
    <w:rPr>
      <w:snapToGrid w:val="0"/>
      <w:szCs w:val="20"/>
    </w:rPr>
  </w:style>
  <w:style w:type="paragraph" w:styleId="FootnoteText">
    <w:name w:val="footnote text"/>
    <w:basedOn w:val="Normal"/>
    <w:semiHidden/>
    <w:rsid w:val="00A543CE"/>
    <w:pPr>
      <w:spacing w:after="60"/>
    </w:pPr>
    <w:rPr>
      <w:sz w:val="16"/>
      <w:szCs w:val="20"/>
    </w:rPr>
  </w:style>
  <w:style w:type="character" w:styleId="FootnoteReference">
    <w:name w:val="footnote reference"/>
    <w:semiHidden/>
    <w:rPr>
      <w:vertAlign w:val="superscript"/>
    </w:rPr>
  </w:style>
  <w:style w:type="paragraph" w:styleId="DocumentMap">
    <w:name w:val="Document Map"/>
    <w:basedOn w:val="Normal"/>
    <w:semiHidden/>
    <w:pPr>
      <w:shd w:val="clear" w:color="auto" w:fill="000080"/>
    </w:pPr>
    <w:rPr>
      <w:rFonts w:ascii="Tahoma" w:hAnsi="Tahoma" w:cs="Tahoma"/>
    </w:rPr>
  </w:style>
  <w:style w:type="paragraph" w:customStyle="1" w:styleId="TextBox">
    <w:name w:val="Text Box"/>
    <w:basedOn w:val="Normal"/>
    <w:pPr>
      <w:spacing w:after="0"/>
      <w:jc w:val="left"/>
    </w:pPr>
    <w:rPr>
      <w:rFonts w:ascii="Verdana" w:hAnsi="Verdana"/>
      <w:sz w:val="16"/>
      <w:szCs w:val="20"/>
    </w:rPr>
  </w:style>
  <w:style w:type="character" w:styleId="Emphasis">
    <w:name w:val="Emphasis"/>
    <w:qFormat/>
    <w:rPr>
      <w:i/>
      <w:iCs/>
    </w:rPr>
  </w:style>
  <w:style w:type="paragraph" w:customStyle="1" w:styleId="TableHeading">
    <w:name w:val="Table Heading"/>
    <w:basedOn w:val="TableCell"/>
    <w:pPr>
      <w:spacing w:before="0"/>
    </w:pPr>
    <w:rPr>
      <w:b/>
      <w:lang w:val="en-US"/>
    </w:rPr>
  </w:style>
  <w:style w:type="paragraph" w:customStyle="1" w:styleId="TableofTablesHeading">
    <w:name w:val="Table of Tables Heading"/>
    <w:basedOn w:val="Normal"/>
    <w:next w:val="TableofFigures"/>
    <w:pPr>
      <w:pBdr>
        <w:bottom w:val="single" w:sz="4" w:space="1" w:color="auto"/>
      </w:pBdr>
      <w:spacing w:before="120"/>
      <w:jc w:val="left"/>
    </w:pPr>
    <w:rPr>
      <w:b/>
      <w:smallCaps/>
      <w:sz w:val="28"/>
    </w:rPr>
  </w:style>
  <w:style w:type="paragraph" w:styleId="TableofFigures">
    <w:name w:val="table of figures"/>
    <w:aliases w:val="Table of Tables/Figures"/>
    <w:basedOn w:val="Normal"/>
    <w:next w:val="Normal"/>
    <w:uiPriority w:val="99"/>
    <w:rsid w:val="00B704D3"/>
    <w:pPr>
      <w:ind w:left="440" w:hanging="440"/>
    </w:pPr>
    <w:rPr>
      <w:sz w:val="18"/>
    </w:rPr>
  </w:style>
  <w:style w:type="paragraph" w:styleId="CommentText">
    <w:name w:val="annotation text"/>
    <w:basedOn w:val="Normal"/>
    <w:link w:val="CommentTextChar"/>
    <w:semiHidden/>
    <w:pPr>
      <w:spacing w:after="0"/>
    </w:pPr>
    <w:rPr>
      <w:snapToGrid w:val="0"/>
      <w:szCs w:val="20"/>
    </w:rPr>
  </w:style>
  <w:style w:type="paragraph" w:customStyle="1" w:styleId="Tablecellleft">
    <w:name w:val="Table_cell_left"/>
    <w:basedOn w:val="Normal"/>
    <w:pPr>
      <w:spacing w:before="40" w:after="40"/>
    </w:pPr>
    <w:rPr>
      <w:lang w:val="en-US"/>
    </w:rPr>
  </w:style>
  <w:style w:type="character" w:styleId="FollowedHyperlink">
    <w:name w:val="FollowedHyperlink"/>
    <w:rPr>
      <w:color w:val="800080"/>
      <w:u w:val="single"/>
    </w:rPr>
  </w:style>
  <w:style w:type="paragraph" w:styleId="BodyTextIndent3">
    <w:name w:val="Body Text Indent 3"/>
    <w:basedOn w:val="Normal"/>
    <w:pPr>
      <w:ind w:left="720"/>
    </w:pPr>
    <w:rPr>
      <w:i/>
      <w:iCs/>
    </w:rPr>
  </w:style>
  <w:style w:type="paragraph" w:customStyle="1" w:styleId="ListBullet1CharCharChar">
    <w:name w:val="List Bullet 1 Char Char Char"/>
    <w:basedOn w:val="Normal"/>
    <w:link w:val="ListBullet1CharCharCharChar"/>
    <w:rsid w:val="00E95238"/>
    <w:pPr>
      <w:spacing w:before="120" w:after="0"/>
      <w:ind w:left="1276" w:hanging="284"/>
    </w:pPr>
    <w:rPr>
      <w:sz w:val="22"/>
    </w:rPr>
  </w:style>
  <w:style w:type="character" w:customStyle="1" w:styleId="ListBullet1CharCharCharChar">
    <w:name w:val="List Bullet 1 Char Char Char Char"/>
    <w:link w:val="ListBullet1CharCharChar"/>
    <w:rsid w:val="00E95238"/>
    <w:rPr>
      <w:rFonts w:ascii="Arial" w:hAnsi="Arial"/>
      <w:sz w:val="22"/>
      <w:szCs w:val="24"/>
      <w:lang w:val="en-GB" w:eastAsia="en-US" w:bidi="ar-SA"/>
    </w:rPr>
  </w:style>
  <w:style w:type="paragraph" w:customStyle="1" w:styleId="Bullet1">
    <w:name w:val="Bullet1"/>
    <w:basedOn w:val="Normal"/>
    <w:rsid w:val="008E3880"/>
    <w:pPr>
      <w:tabs>
        <w:tab w:val="left" w:pos="360"/>
        <w:tab w:val="num" w:pos="644"/>
      </w:tabs>
      <w:spacing w:before="120"/>
      <w:ind w:left="624" w:right="284" w:hanging="340"/>
    </w:pPr>
    <w:rPr>
      <w:rFonts w:ascii="Trebuchet MS" w:hAnsi="Trebuchet MS"/>
      <w:sz w:val="22"/>
      <w:szCs w:val="20"/>
    </w:rPr>
  </w:style>
  <w:style w:type="paragraph" w:customStyle="1" w:styleId="Bullet2">
    <w:name w:val="Bullet2"/>
    <w:basedOn w:val="Bullet1"/>
    <w:rsid w:val="008E3880"/>
    <w:pPr>
      <w:tabs>
        <w:tab w:val="clear" w:pos="360"/>
        <w:tab w:val="clear" w:pos="644"/>
        <w:tab w:val="left" w:pos="1134"/>
      </w:tabs>
      <w:ind w:left="1491" w:right="0" w:hanging="357"/>
    </w:pPr>
    <w:rPr>
      <w:bCs/>
    </w:rPr>
  </w:style>
  <w:style w:type="paragraph" w:customStyle="1" w:styleId="Heading">
    <w:name w:val="Heading"/>
    <w:basedOn w:val="Heading1"/>
    <w:rsid w:val="008E3880"/>
    <w:pPr>
      <w:keepLines/>
      <w:pageBreakBefore w:val="0"/>
      <w:numPr>
        <w:numId w:val="0"/>
      </w:numPr>
      <w:tabs>
        <w:tab w:val="clear" w:pos="567"/>
      </w:tabs>
      <w:spacing w:before="240"/>
      <w:ind w:right="284"/>
      <w:jc w:val="center"/>
    </w:pPr>
    <w:rPr>
      <w:rFonts w:ascii="Trebuchet MS" w:hAnsi="Trebuchet MS" w:cs="Times New Roman"/>
      <w:bCs w:val="0"/>
      <w:color w:val="003366"/>
      <w:kern w:val="28"/>
      <w:sz w:val="28"/>
      <w:szCs w:val="20"/>
    </w:rPr>
  </w:style>
  <w:style w:type="paragraph" w:styleId="BodyText">
    <w:name w:val="Body Text"/>
    <w:basedOn w:val="Normal"/>
    <w:rsid w:val="00C3084A"/>
    <w:pPr>
      <w:spacing w:after="0"/>
    </w:pPr>
  </w:style>
  <w:style w:type="table" w:styleId="TableGrid">
    <w:name w:val="Table Grid"/>
    <w:basedOn w:val="TableNormal"/>
    <w:rsid w:val="00196E84"/>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Normal"/>
    <w:rsid w:val="00C65A22"/>
    <w:pPr>
      <w:spacing w:before="120" w:after="0"/>
      <w:ind w:left="1276" w:hanging="284"/>
    </w:pPr>
    <w:rPr>
      <w:sz w:val="22"/>
    </w:rPr>
  </w:style>
  <w:style w:type="paragraph" w:styleId="ListBullet2">
    <w:name w:val="List Bullet 2"/>
    <w:basedOn w:val="ListBullet1"/>
    <w:autoRedefine/>
    <w:rsid w:val="00C65A22"/>
    <w:pPr>
      <w:spacing w:before="60"/>
      <w:ind w:left="1701" w:hanging="283"/>
    </w:pPr>
    <w:rPr>
      <w:rFonts w:ascii="Times New Roman" w:hAnsi="Times New Roman"/>
      <w:szCs w:val="20"/>
    </w:rPr>
  </w:style>
  <w:style w:type="character" w:customStyle="1" w:styleId="body">
    <w:name w:val="body"/>
    <w:basedOn w:val="DefaultParagraphFont"/>
    <w:rsid w:val="0090687C"/>
  </w:style>
  <w:style w:type="paragraph" w:customStyle="1" w:styleId="StyleHeader10ptBefore3ptAfter3pt">
    <w:name w:val="Style Header + 10 pt Before:  3 pt After:  3 pt"/>
    <w:basedOn w:val="Header"/>
    <w:rsid w:val="00153924"/>
    <w:pPr>
      <w:spacing w:before="60" w:after="60"/>
    </w:pPr>
    <w:rPr>
      <w:rFonts w:ascii="Arial" w:hAnsi="Arial"/>
      <w:sz w:val="20"/>
      <w:szCs w:val="20"/>
    </w:rPr>
  </w:style>
  <w:style w:type="paragraph" w:styleId="BalloonText">
    <w:name w:val="Balloon Text"/>
    <w:basedOn w:val="Normal"/>
    <w:semiHidden/>
    <w:rsid w:val="000F5132"/>
    <w:rPr>
      <w:rFonts w:ascii="Tahoma" w:hAnsi="Tahoma" w:cs="Tahoma"/>
      <w:sz w:val="16"/>
      <w:szCs w:val="16"/>
    </w:rPr>
  </w:style>
  <w:style w:type="paragraph" w:customStyle="1" w:styleId="Text1Char">
    <w:name w:val="Text 1 Char"/>
    <w:basedOn w:val="Normal"/>
    <w:link w:val="Text1CharChar"/>
    <w:rsid w:val="00121081"/>
    <w:pPr>
      <w:spacing w:after="240"/>
      <w:ind w:left="482"/>
    </w:pPr>
    <w:rPr>
      <w:rFonts w:ascii="Times New Roman" w:hAnsi="Times New Roman"/>
      <w:sz w:val="24"/>
      <w:szCs w:val="20"/>
      <w:lang w:eastAsia="ko-KR"/>
    </w:rPr>
  </w:style>
  <w:style w:type="paragraph" w:customStyle="1" w:styleId="WP-level1">
    <w:name w:val="WP-level 1"/>
    <w:basedOn w:val="Text1Char"/>
    <w:rsid w:val="00121081"/>
    <w:pPr>
      <w:keepNext/>
      <w:widowControl w:val="0"/>
      <w:spacing w:before="30" w:after="30"/>
      <w:ind w:left="34"/>
      <w:jc w:val="left"/>
    </w:pPr>
    <w:rPr>
      <w:b/>
      <w:color w:val="008000"/>
      <w:sz w:val="20"/>
      <w:lang w:eastAsia="en-US"/>
    </w:rPr>
  </w:style>
  <w:style w:type="paragraph" w:customStyle="1" w:styleId="minutes">
    <w:name w:val="minutes"/>
    <w:basedOn w:val="Normal"/>
    <w:rsid w:val="0035628D"/>
    <w:pPr>
      <w:numPr>
        <w:numId w:val="2"/>
      </w:numPr>
      <w:spacing w:after="0"/>
      <w:jc w:val="left"/>
    </w:pPr>
    <w:rPr>
      <w:rFonts w:ascii="Univers 47 CondensedLight" w:hAnsi="Univers 47 CondensedLight" w:cs="Tahoma"/>
    </w:rPr>
  </w:style>
  <w:style w:type="paragraph" w:customStyle="1" w:styleId="ListBullet1Char">
    <w:name w:val="List Bullet 1 Char"/>
    <w:basedOn w:val="Normal"/>
    <w:rsid w:val="00103CFD"/>
    <w:pPr>
      <w:spacing w:before="120" w:after="0"/>
      <w:ind w:left="1276" w:hanging="284"/>
    </w:pPr>
    <w:rPr>
      <w:sz w:val="22"/>
    </w:rPr>
  </w:style>
  <w:style w:type="paragraph" w:customStyle="1" w:styleId="WP-Level2">
    <w:name w:val="WP-Level 2"/>
    <w:basedOn w:val="Text1Char"/>
    <w:rsid w:val="00103CFD"/>
    <w:pPr>
      <w:keepNext/>
      <w:widowControl w:val="0"/>
      <w:spacing w:before="30" w:after="30"/>
      <w:ind w:left="34"/>
      <w:jc w:val="left"/>
    </w:pPr>
    <w:rPr>
      <w:sz w:val="20"/>
      <w:lang w:eastAsia="en-US"/>
    </w:rPr>
  </w:style>
  <w:style w:type="character" w:styleId="CommentReference">
    <w:name w:val="annotation reference"/>
    <w:uiPriority w:val="99"/>
    <w:semiHidden/>
    <w:rsid w:val="00950AE8"/>
    <w:rPr>
      <w:sz w:val="16"/>
      <w:szCs w:val="16"/>
    </w:rPr>
  </w:style>
  <w:style w:type="paragraph" w:styleId="CommentSubject">
    <w:name w:val="annotation subject"/>
    <w:basedOn w:val="CommentText"/>
    <w:next w:val="CommentText"/>
    <w:semiHidden/>
    <w:rsid w:val="00950AE8"/>
    <w:pPr>
      <w:spacing w:after="120"/>
    </w:pPr>
    <w:rPr>
      <w:b/>
      <w:bCs/>
      <w:snapToGrid/>
    </w:rPr>
  </w:style>
  <w:style w:type="character" w:customStyle="1" w:styleId="Text1CharChar">
    <w:name w:val="Text 1 Char Char"/>
    <w:link w:val="Text1Char"/>
    <w:rsid w:val="0039024A"/>
    <w:rPr>
      <w:sz w:val="24"/>
      <w:lang w:val="en-GB" w:eastAsia="ko-KR" w:bidi="ar-SA"/>
    </w:rPr>
  </w:style>
  <w:style w:type="paragraph" w:customStyle="1" w:styleId="sousrubrique">
    <w:name w:val="sous rubrique"/>
    <w:basedOn w:val="Normal"/>
    <w:rsid w:val="001B4878"/>
    <w:pPr>
      <w:numPr>
        <w:numId w:val="3"/>
      </w:numPr>
    </w:pPr>
  </w:style>
  <w:style w:type="paragraph" w:customStyle="1" w:styleId="Table">
    <w:name w:val="Table"/>
    <w:basedOn w:val="Normal"/>
    <w:rsid w:val="00D021D0"/>
    <w:pPr>
      <w:spacing w:before="60" w:after="60"/>
    </w:pPr>
    <w:rPr>
      <w:rFonts w:ascii="Times New Roman" w:hAnsi="Times New Roman"/>
      <w:sz w:val="22"/>
      <w:szCs w:val="20"/>
    </w:rPr>
  </w:style>
  <w:style w:type="paragraph" w:customStyle="1" w:styleId="Text1">
    <w:name w:val="Text 1"/>
    <w:basedOn w:val="Normal"/>
    <w:rsid w:val="00793711"/>
    <w:pPr>
      <w:spacing w:after="240"/>
      <w:ind w:left="482"/>
    </w:pPr>
    <w:rPr>
      <w:rFonts w:ascii="Times New Roman" w:hAnsi="Times New Roman"/>
      <w:sz w:val="24"/>
      <w:szCs w:val="20"/>
    </w:rPr>
  </w:style>
  <w:style w:type="paragraph" w:customStyle="1" w:styleId="CharCharCharChar">
    <w:name w:val="Char Char Char Char"/>
    <w:basedOn w:val="Normal"/>
    <w:autoRedefine/>
    <w:rsid w:val="00992ACF"/>
    <w:pPr>
      <w:spacing w:after="240" w:line="240" w:lineRule="exact"/>
      <w:jc w:val="left"/>
    </w:pPr>
    <w:rPr>
      <w:rFonts w:ascii="Verdana" w:hAnsi="Verdana"/>
      <w:color w:val="666699"/>
      <w:szCs w:val="20"/>
      <w:lang w:val="en-US"/>
    </w:rPr>
  </w:style>
  <w:style w:type="paragraph" w:customStyle="1" w:styleId="Style12ptBoldBottomSinglesolidlineAuto05ptLinew">
    <w:name w:val="Style 12 pt Bold Bottom: (Single solid line Auto  05 pt Line w..."/>
    <w:basedOn w:val="Normal"/>
    <w:rsid w:val="00453172"/>
    <w:pPr>
      <w:pBdr>
        <w:bottom w:val="single" w:sz="4" w:space="1" w:color="808080"/>
      </w:pBdr>
    </w:pPr>
    <w:rPr>
      <w:b/>
      <w:bCs/>
      <w:smallCaps/>
      <w:sz w:val="28"/>
      <w:szCs w:val="20"/>
    </w:rPr>
  </w:style>
  <w:style w:type="paragraph" w:styleId="ListBullet">
    <w:name w:val="List Bullet"/>
    <w:basedOn w:val="Normal"/>
    <w:autoRedefine/>
    <w:rsid w:val="008318E8"/>
    <w:pPr>
      <w:numPr>
        <w:numId w:val="4"/>
      </w:numPr>
    </w:pPr>
  </w:style>
  <w:style w:type="paragraph" w:customStyle="1" w:styleId="CaptionAnnex">
    <w:name w:val="Caption Annex"/>
    <w:basedOn w:val="Caption"/>
    <w:next w:val="Normal"/>
    <w:rsid w:val="00AF19D8"/>
    <w:rPr>
      <w:rFonts w:ascii="Times New Roman" w:hAnsi="Times New Roman"/>
      <w:bCs w:val="0"/>
      <w:i w:val="0"/>
      <w:snapToGrid w:val="0"/>
      <w:sz w:val="24"/>
    </w:rPr>
  </w:style>
  <w:style w:type="paragraph" w:customStyle="1" w:styleId="Char">
    <w:name w:val="Char"/>
    <w:basedOn w:val="Normal"/>
    <w:rsid w:val="00C8402D"/>
    <w:pPr>
      <w:spacing w:after="160" w:line="240" w:lineRule="exact"/>
      <w:jc w:val="left"/>
    </w:pPr>
    <w:rPr>
      <w:rFonts w:ascii="Verdana" w:hAnsi="Verdana"/>
      <w:szCs w:val="20"/>
      <w:lang w:val="en-US"/>
    </w:rPr>
  </w:style>
  <w:style w:type="character" w:customStyle="1" w:styleId="CaptionChar">
    <w:name w:val="Caption Char"/>
    <w:aliases w:val=" Char Char Char Char1, Char Char Char Char Char1, Char Char Char Char Char Char1, Char Char Char Char Char Char Char, Char Char Char Char Char1 Char Char1,Caption Char1 Char, Char Char Char Char Char1 Char Char Char,Char Char Char Char1"/>
    <w:link w:val="Caption"/>
    <w:rsid w:val="00CE50F5"/>
    <w:rPr>
      <w:rFonts w:ascii="Arial" w:hAnsi="Arial"/>
      <w:bCs/>
      <w:i/>
      <w:sz w:val="18"/>
      <w:lang w:val="en-GB" w:eastAsia="en-US" w:bidi="ar-SA"/>
    </w:rPr>
  </w:style>
  <w:style w:type="paragraph" w:customStyle="1" w:styleId="CharCharCharCharCharCharCharCharCharCharCharCharChar">
    <w:name w:val="Char Char Char Char Char Char Char Char Char Char Char Char Char"/>
    <w:basedOn w:val="Normal"/>
    <w:autoRedefine/>
    <w:rsid w:val="00504BD4"/>
    <w:pPr>
      <w:spacing w:after="240" w:line="240" w:lineRule="exact"/>
      <w:jc w:val="left"/>
    </w:pPr>
    <w:rPr>
      <w:rFonts w:ascii="Verdana" w:hAnsi="Verdana"/>
      <w:szCs w:val="20"/>
      <w:lang w:val="en-US"/>
    </w:rPr>
  </w:style>
  <w:style w:type="paragraph" w:customStyle="1" w:styleId="StyleCaption">
    <w:name w:val="Style Caption"/>
    <w:basedOn w:val="Caption"/>
    <w:link w:val="StyleCaptionChar"/>
    <w:rsid w:val="00597C39"/>
    <w:rPr>
      <w:iCs/>
      <w:sz w:val="20"/>
      <w:szCs w:val="24"/>
    </w:rPr>
  </w:style>
  <w:style w:type="character" w:customStyle="1" w:styleId="StyleCaptionChar">
    <w:name w:val="Style Caption Char"/>
    <w:link w:val="StyleCaption"/>
    <w:rsid w:val="00597C39"/>
    <w:rPr>
      <w:rFonts w:ascii="Arial" w:hAnsi="Arial"/>
      <w:bCs/>
      <w:i/>
      <w:iCs/>
      <w:szCs w:val="24"/>
      <w:lang w:val="en-GB" w:eastAsia="en-US" w:bidi="ar-SA"/>
    </w:rPr>
  </w:style>
  <w:style w:type="character" w:customStyle="1" w:styleId="CommentTextChar">
    <w:name w:val="Comment Text Char"/>
    <w:link w:val="CommentText"/>
    <w:semiHidden/>
    <w:rsid w:val="00ED5C07"/>
    <w:rPr>
      <w:rFonts w:ascii="Arial" w:hAnsi="Arial"/>
      <w:snapToGrid w:val="0"/>
      <w:lang w:eastAsia="en-US"/>
    </w:rPr>
  </w:style>
  <w:style w:type="character" w:customStyle="1" w:styleId="CharChar">
    <w:name w:val="Char Char"/>
    <w:rsid w:val="00C55E4B"/>
    <w:rPr>
      <w:rFonts w:ascii="Arial" w:hAnsi="Arial"/>
      <w:bCs/>
      <w:i/>
      <w:sz w:val="18"/>
      <w:lang w:val="en-GB" w:eastAsia="en-US" w:bidi="ar-SA"/>
    </w:rPr>
  </w:style>
  <w:style w:type="paragraph" w:styleId="NormalWeb">
    <w:name w:val="Normal (Web)"/>
    <w:basedOn w:val="Normal"/>
    <w:uiPriority w:val="99"/>
    <w:rsid w:val="00BC3BE9"/>
    <w:pPr>
      <w:spacing w:before="100" w:beforeAutospacing="1" w:after="100" w:afterAutospacing="1"/>
      <w:jc w:val="left"/>
    </w:pPr>
    <w:rPr>
      <w:rFonts w:ascii="Times New Roman" w:hAnsi="Times New Roman"/>
      <w:sz w:val="24"/>
      <w:lang w:val="fr-FR" w:eastAsia="fr-FR"/>
    </w:rPr>
  </w:style>
  <w:style w:type="paragraph" w:customStyle="1" w:styleId="TableText">
    <w:name w:val="Table Text"/>
    <w:rsid w:val="00AE1A87"/>
    <w:rPr>
      <w:rFonts w:ascii="Arial" w:hAnsi="Arial"/>
      <w:szCs w:val="24"/>
      <w:lang w:eastAsia="en-US"/>
    </w:rPr>
  </w:style>
  <w:style w:type="paragraph" w:customStyle="1" w:styleId="TableTextBold">
    <w:name w:val="Table Text Bold"/>
    <w:rsid w:val="00AE1A87"/>
    <w:rPr>
      <w:rFonts w:ascii="Arial" w:hAnsi="Arial"/>
      <w:b/>
      <w:szCs w:val="24"/>
      <w:lang w:eastAsia="en-US"/>
    </w:rPr>
  </w:style>
  <w:style w:type="paragraph" w:customStyle="1" w:styleId="styletableau">
    <w:name w:val="style tableau"/>
    <w:basedOn w:val="TableCell"/>
    <w:rsid w:val="00D30D61"/>
    <w:pPr>
      <w:spacing w:beforeLines="20" w:afterLines="20"/>
      <w:ind w:left="113" w:right="180"/>
    </w:pPr>
    <w:rPr>
      <w:rFonts w:cs="Arial"/>
      <w:sz w:val="18"/>
      <w:szCs w:val="18"/>
    </w:rPr>
  </w:style>
  <w:style w:type="paragraph" w:customStyle="1" w:styleId="emcsbodytext">
    <w:name w:val="emcs_body_text"/>
    <w:link w:val="emcsbodytextCar"/>
    <w:rsid w:val="00F2213A"/>
    <w:pPr>
      <w:widowControl w:val="0"/>
      <w:spacing w:before="120"/>
      <w:ind w:left="567"/>
      <w:jc w:val="both"/>
    </w:pPr>
    <w:rPr>
      <w:sz w:val="24"/>
      <w:lang w:eastAsia="en-US"/>
    </w:rPr>
  </w:style>
  <w:style w:type="character" w:customStyle="1" w:styleId="emcsbodytextCar">
    <w:name w:val="emcs_body_text Car"/>
    <w:link w:val="emcsbodytext"/>
    <w:rsid w:val="00F2213A"/>
    <w:rPr>
      <w:sz w:val="24"/>
      <w:lang w:val="en-GB" w:eastAsia="en-US" w:bidi="ar-SA"/>
    </w:rPr>
  </w:style>
  <w:style w:type="character" w:styleId="Strong">
    <w:name w:val="Strong"/>
    <w:qFormat/>
    <w:rsid w:val="00F2213A"/>
    <w:rPr>
      <w:b/>
      <w:bCs/>
    </w:rPr>
  </w:style>
  <w:style w:type="paragraph" w:customStyle="1" w:styleId="Table10">
    <w:name w:val="Table 10"/>
    <w:rsid w:val="009766E1"/>
    <w:pPr>
      <w:tabs>
        <w:tab w:val="left" w:pos="567"/>
        <w:tab w:val="left" w:pos="1134"/>
        <w:tab w:val="left" w:pos="1701"/>
      </w:tabs>
      <w:spacing w:before="40" w:after="40"/>
    </w:pPr>
    <w:rPr>
      <w:lang w:eastAsia="en-US"/>
    </w:rPr>
  </w:style>
  <w:style w:type="paragraph" w:customStyle="1" w:styleId="BodyText0">
    <w:name w:val="BodyText"/>
    <w:basedOn w:val="ListNumber3"/>
    <w:qFormat/>
    <w:rsid w:val="0097306B"/>
    <w:pPr>
      <w:tabs>
        <w:tab w:val="clear" w:pos="720"/>
      </w:tabs>
      <w:spacing w:before="120" w:after="0"/>
      <w:ind w:left="0" w:firstLine="0"/>
      <w:jc w:val="left"/>
    </w:pPr>
    <w:rPr>
      <w:rFonts w:eastAsia="Calibri"/>
      <w:sz w:val="22"/>
      <w:szCs w:val="22"/>
    </w:rPr>
  </w:style>
  <w:style w:type="paragraph" w:styleId="ListNumber3">
    <w:name w:val="List Number 3"/>
    <w:basedOn w:val="Normal"/>
    <w:rsid w:val="0097306B"/>
    <w:pPr>
      <w:tabs>
        <w:tab w:val="num" w:pos="720"/>
      </w:tabs>
      <w:ind w:left="720" w:hanging="360"/>
      <w:contextualSpacing/>
    </w:pPr>
  </w:style>
  <w:style w:type="paragraph" w:customStyle="1" w:styleId="StyleBoldLeftLinespacing15lines">
    <w:name w:val="Style Bold Left Line spacing:  1.5 lines"/>
    <w:basedOn w:val="Normal"/>
    <w:rsid w:val="00453172"/>
    <w:pPr>
      <w:spacing w:line="360" w:lineRule="auto"/>
      <w:jc w:val="left"/>
    </w:pPr>
    <w:rPr>
      <w:b/>
      <w:bCs/>
      <w:szCs w:val="20"/>
    </w:rPr>
  </w:style>
  <w:style w:type="paragraph" w:styleId="Revision">
    <w:name w:val="Revision"/>
    <w:hidden/>
    <w:uiPriority w:val="99"/>
    <w:semiHidden/>
    <w:rsid w:val="00BB771F"/>
    <w:rPr>
      <w:rFonts w:ascii="Arial" w:hAnsi="Arial"/>
      <w:szCs w:val="24"/>
      <w:lang w:eastAsia="en-US"/>
    </w:rPr>
  </w:style>
  <w:style w:type="character" w:customStyle="1" w:styleId="Heading3Char">
    <w:name w:val="Heading 3 Char"/>
    <w:aliases w:val="Headline 3 Char,h3 Char,h31 Char,h32 Char,H3 Char,H31 Char Char1,H31 Char Char Char,H31 Char1,Proposa Char,Heading 4 Proposal Char,DNV-H3 Char,3 Char,summit Char,3m Char,Paragraaf Char,head 3 Char,header3 Char,head 31 Char,header31 Char"/>
    <w:link w:val="Heading3"/>
    <w:rsid w:val="00A951A5"/>
    <w:rPr>
      <w:rFonts w:ascii="Arial" w:eastAsia="Calibri" w:hAnsi="Arial" w:cs="Arial"/>
      <w:b/>
      <w:bCs/>
      <w:smallCaps/>
      <w:sz w:val="28"/>
      <w:szCs w:val="22"/>
      <w:lang w:eastAsia="en-US"/>
    </w:rPr>
  </w:style>
  <w:style w:type="character" w:customStyle="1" w:styleId="Heading4Char">
    <w:name w:val="Heading 4 Char"/>
    <w:aliases w:val="Heading 4 Char Char Char1,Heading 4 Char1 Char1,Heading 4 Char Char Char Char,Heading 4 Char1 Char Char,Heading 4 Char Char1 Char,H4 Char,4 Char,Propos Char,DNV-H4 Char,h4 Char,h4 sub sub heading Char,Sub Sub Paragraph Char,Para 4 Char"/>
    <w:link w:val="Heading4"/>
    <w:rsid w:val="00797FE4"/>
    <w:rPr>
      <w:rFonts w:ascii="Arial" w:hAnsi="Arial"/>
      <w:b/>
      <w:bCs/>
      <w:sz w:val="24"/>
      <w:szCs w:val="28"/>
      <w:lang w:eastAsia="en-US"/>
    </w:rPr>
  </w:style>
  <w:style w:type="character" w:customStyle="1" w:styleId="emcsitalic">
    <w:name w:val="emcs_italic"/>
    <w:rsid w:val="004E417F"/>
    <w:rPr>
      <w:i/>
    </w:rPr>
  </w:style>
  <w:style w:type="character" w:customStyle="1" w:styleId="emcsbodytextChar">
    <w:name w:val="emcs_body_text Char"/>
    <w:rsid w:val="00E82DC5"/>
    <w:rPr>
      <w:sz w:val="24"/>
      <w:lang w:val="en-GB" w:eastAsia="en-US" w:bidi="ar-SA"/>
    </w:rPr>
  </w:style>
  <w:style w:type="paragraph" w:customStyle="1" w:styleId="Tablecellstyle">
    <w:name w:val="Tablecellstyle"/>
    <w:basedOn w:val="Normal"/>
    <w:rsid w:val="00D40F29"/>
    <w:pPr>
      <w:keepNext/>
      <w:spacing w:before="40" w:after="40"/>
      <w:ind w:left="43"/>
      <w:jc w:val="left"/>
    </w:pPr>
    <w:rPr>
      <w:sz w:val="18"/>
      <w:szCs w:val="20"/>
    </w:rPr>
  </w:style>
  <w:style w:type="paragraph" w:styleId="ListParagraph">
    <w:name w:val="List Paragraph"/>
    <w:basedOn w:val="Normal"/>
    <w:uiPriority w:val="34"/>
    <w:qFormat/>
    <w:rsid w:val="004D15C9"/>
    <w:pPr>
      <w:ind w:left="720"/>
      <w:contextualSpacing/>
    </w:pPr>
    <w:rPr>
      <w:rFonts w:eastAsia="PMingLiU"/>
    </w:rPr>
  </w:style>
  <w:style w:type="paragraph" w:styleId="HTMLPreformatted">
    <w:name w:val="HTML Preformatted"/>
    <w:basedOn w:val="Normal"/>
    <w:link w:val="HTMLPreformattedChar"/>
    <w:uiPriority w:val="99"/>
    <w:unhideWhenUsed/>
    <w:rsid w:val="00B55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lang w:eastAsia="en-GB"/>
    </w:rPr>
  </w:style>
  <w:style w:type="character" w:customStyle="1" w:styleId="HTMLPreformattedChar">
    <w:name w:val="HTML Preformatted Char"/>
    <w:link w:val="HTMLPreformatted"/>
    <w:uiPriority w:val="99"/>
    <w:rsid w:val="00B55568"/>
    <w:rPr>
      <w:rFonts w:ascii="Courier New" w:hAnsi="Courier New" w:cs="Courier New"/>
    </w:rPr>
  </w:style>
  <w:style w:type="table" w:customStyle="1" w:styleId="GridTable5Dark-Accent41">
    <w:name w:val="Grid Table 5 Dark - Accent 41"/>
    <w:basedOn w:val="TableNormal"/>
    <w:uiPriority w:val="50"/>
    <w:rsid w:val="00E75D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FooterChar">
    <w:name w:val="Footer Char"/>
    <w:basedOn w:val="DefaultParagraphFont"/>
    <w:link w:val="Footer"/>
    <w:uiPriority w:val="99"/>
    <w:rsid w:val="005A3B41"/>
    <w:rPr>
      <w:rFonts w:ascii="Arial" w:hAnsi="Arial"/>
      <w:sz w:val="18"/>
      <w:szCs w:val="24"/>
      <w:lang w:eastAsia="en-US"/>
    </w:rPr>
  </w:style>
  <w:style w:type="character" w:customStyle="1" w:styleId="Mention1">
    <w:name w:val="Mention1"/>
    <w:basedOn w:val="DefaultParagraphFont"/>
    <w:uiPriority w:val="99"/>
    <w:semiHidden/>
    <w:unhideWhenUsed/>
    <w:rsid w:val="00AD3A80"/>
    <w:rPr>
      <w:color w:val="2B579A"/>
      <w:shd w:val="clear" w:color="auto" w:fill="E6E6E6"/>
    </w:rPr>
  </w:style>
  <w:style w:type="character" w:customStyle="1" w:styleId="UnresolvedMention1">
    <w:name w:val="Unresolved Mention1"/>
    <w:basedOn w:val="DefaultParagraphFont"/>
    <w:uiPriority w:val="99"/>
    <w:semiHidden/>
    <w:unhideWhenUsed/>
    <w:rsid w:val="00E24F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7818">
      <w:bodyDiv w:val="1"/>
      <w:marLeft w:val="0"/>
      <w:marRight w:val="0"/>
      <w:marTop w:val="0"/>
      <w:marBottom w:val="0"/>
      <w:divBdr>
        <w:top w:val="none" w:sz="0" w:space="0" w:color="auto"/>
        <w:left w:val="none" w:sz="0" w:space="0" w:color="auto"/>
        <w:bottom w:val="none" w:sz="0" w:space="0" w:color="auto"/>
        <w:right w:val="none" w:sz="0" w:space="0" w:color="auto"/>
      </w:divBdr>
      <w:divsChild>
        <w:div w:id="507989730">
          <w:marLeft w:val="547"/>
          <w:marRight w:val="0"/>
          <w:marTop w:val="96"/>
          <w:marBottom w:val="0"/>
          <w:divBdr>
            <w:top w:val="none" w:sz="0" w:space="0" w:color="auto"/>
            <w:left w:val="none" w:sz="0" w:space="0" w:color="auto"/>
            <w:bottom w:val="none" w:sz="0" w:space="0" w:color="auto"/>
            <w:right w:val="none" w:sz="0" w:space="0" w:color="auto"/>
          </w:divBdr>
        </w:div>
        <w:div w:id="1157186147">
          <w:marLeft w:val="547"/>
          <w:marRight w:val="0"/>
          <w:marTop w:val="96"/>
          <w:marBottom w:val="0"/>
          <w:divBdr>
            <w:top w:val="none" w:sz="0" w:space="0" w:color="auto"/>
            <w:left w:val="none" w:sz="0" w:space="0" w:color="auto"/>
            <w:bottom w:val="none" w:sz="0" w:space="0" w:color="auto"/>
            <w:right w:val="none" w:sz="0" w:space="0" w:color="auto"/>
          </w:divBdr>
        </w:div>
        <w:div w:id="1545949343">
          <w:marLeft w:val="547"/>
          <w:marRight w:val="0"/>
          <w:marTop w:val="96"/>
          <w:marBottom w:val="0"/>
          <w:divBdr>
            <w:top w:val="none" w:sz="0" w:space="0" w:color="auto"/>
            <w:left w:val="none" w:sz="0" w:space="0" w:color="auto"/>
            <w:bottom w:val="none" w:sz="0" w:space="0" w:color="auto"/>
            <w:right w:val="none" w:sz="0" w:space="0" w:color="auto"/>
          </w:divBdr>
        </w:div>
      </w:divsChild>
    </w:div>
    <w:div w:id="17512011">
      <w:bodyDiv w:val="1"/>
      <w:marLeft w:val="0"/>
      <w:marRight w:val="0"/>
      <w:marTop w:val="0"/>
      <w:marBottom w:val="0"/>
      <w:divBdr>
        <w:top w:val="none" w:sz="0" w:space="0" w:color="auto"/>
        <w:left w:val="none" w:sz="0" w:space="0" w:color="auto"/>
        <w:bottom w:val="none" w:sz="0" w:space="0" w:color="auto"/>
        <w:right w:val="none" w:sz="0" w:space="0" w:color="auto"/>
      </w:divBdr>
    </w:div>
    <w:div w:id="26761428">
      <w:bodyDiv w:val="1"/>
      <w:marLeft w:val="0"/>
      <w:marRight w:val="0"/>
      <w:marTop w:val="0"/>
      <w:marBottom w:val="0"/>
      <w:divBdr>
        <w:top w:val="none" w:sz="0" w:space="0" w:color="auto"/>
        <w:left w:val="none" w:sz="0" w:space="0" w:color="auto"/>
        <w:bottom w:val="none" w:sz="0" w:space="0" w:color="auto"/>
        <w:right w:val="none" w:sz="0" w:space="0" w:color="auto"/>
      </w:divBdr>
      <w:divsChild>
        <w:div w:id="474184079">
          <w:marLeft w:val="1166"/>
          <w:marRight w:val="0"/>
          <w:marTop w:val="77"/>
          <w:marBottom w:val="0"/>
          <w:divBdr>
            <w:top w:val="none" w:sz="0" w:space="0" w:color="auto"/>
            <w:left w:val="none" w:sz="0" w:space="0" w:color="auto"/>
            <w:bottom w:val="none" w:sz="0" w:space="0" w:color="auto"/>
            <w:right w:val="none" w:sz="0" w:space="0" w:color="auto"/>
          </w:divBdr>
        </w:div>
      </w:divsChild>
    </w:div>
    <w:div w:id="38749691">
      <w:bodyDiv w:val="1"/>
      <w:marLeft w:val="0"/>
      <w:marRight w:val="0"/>
      <w:marTop w:val="0"/>
      <w:marBottom w:val="0"/>
      <w:divBdr>
        <w:top w:val="none" w:sz="0" w:space="0" w:color="auto"/>
        <w:left w:val="none" w:sz="0" w:space="0" w:color="auto"/>
        <w:bottom w:val="none" w:sz="0" w:space="0" w:color="auto"/>
        <w:right w:val="none" w:sz="0" w:space="0" w:color="auto"/>
      </w:divBdr>
    </w:div>
    <w:div w:id="79720221">
      <w:bodyDiv w:val="1"/>
      <w:marLeft w:val="0"/>
      <w:marRight w:val="0"/>
      <w:marTop w:val="0"/>
      <w:marBottom w:val="0"/>
      <w:divBdr>
        <w:top w:val="none" w:sz="0" w:space="0" w:color="auto"/>
        <w:left w:val="none" w:sz="0" w:space="0" w:color="auto"/>
        <w:bottom w:val="none" w:sz="0" w:space="0" w:color="auto"/>
        <w:right w:val="none" w:sz="0" w:space="0" w:color="auto"/>
      </w:divBdr>
    </w:div>
    <w:div w:id="90325130">
      <w:bodyDiv w:val="1"/>
      <w:marLeft w:val="0"/>
      <w:marRight w:val="0"/>
      <w:marTop w:val="0"/>
      <w:marBottom w:val="0"/>
      <w:divBdr>
        <w:top w:val="none" w:sz="0" w:space="0" w:color="auto"/>
        <w:left w:val="none" w:sz="0" w:space="0" w:color="auto"/>
        <w:bottom w:val="none" w:sz="0" w:space="0" w:color="auto"/>
        <w:right w:val="none" w:sz="0" w:space="0" w:color="auto"/>
      </w:divBdr>
    </w:div>
    <w:div w:id="98569083">
      <w:bodyDiv w:val="1"/>
      <w:marLeft w:val="0"/>
      <w:marRight w:val="0"/>
      <w:marTop w:val="0"/>
      <w:marBottom w:val="0"/>
      <w:divBdr>
        <w:top w:val="none" w:sz="0" w:space="0" w:color="auto"/>
        <w:left w:val="none" w:sz="0" w:space="0" w:color="auto"/>
        <w:bottom w:val="none" w:sz="0" w:space="0" w:color="auto"/>
        <w:right w:val="none" w:sz="0" w:space="0" w:color="auto"/>
      </w:divBdr>
    </w:div>
    <w:div w:id="109933403">
      <w:bodyDiv w:val="1"/>
      <w:marLeft w:val="0"/>
      <w:marRight w:val="0"/>
      <w:marTop w:val="0"/>
      <w:marBottom w:val="0"/>
      <w:divBdr>
        <w:top w:val="none" w:sz="0" w:space="0" w:color="auto"/>
        <w:left w:val="none" w:sz="0" w:space="0" w:color="auto"/>
        <w:bottom w:val="none" w:sz="0" w:space="0" w:color="auto"/>
        <w:right w:val="none" w:sz="0" w:space="0" w:color="auto"/>
      </w:divBdr>
    </w:div>
    <w:div w:id="144979163">
      <w:bodyDiv w:val="1"/>
      <w:marLeft w:val="0"/>
      <w:marRight w:val="0"/>
      <w:marTop w:val="0"/>
      <w:marBottom w:val="0"/>
      <w:divBdr>
        <w:top w:val="none" w:sz="0" w:space="0" w:color="auto"/>
        <w:left w:val="none" w:sz="0" w:space="0" w:color="auto"/>
        <w:bottom w:val="none" w:sz="0" w:space="0" w:color="auto"/>
        <w:right w:val="none" w:sz="0" w:space="0" w:color="auto"/>
      </w:divBdr>
    </w:div>
    <w:div w:id="159274389">
      <w:bodyDiv w:val="1"/>
      <w:marLeft w:val="0"/>
      <w:marRight w:val="0"/>
      <w:marTop w:val="0"/>
      <w:marBottom w:val="0"/>
      <w:divBdr>
        <w:top w:val="none" w:sz="0" w:space="0" w:color="auto"/>
        <w:left w:val="none" w:sz="0" w:space="0" w:color="auto"/>
        <w:bottom w:val="none" w:sz="0" w:space="0" w:color="auto"/>
        <w:right w:val="none" w:sz="0" w:space="0" w:color="auto"/>
      </w:divBdr>
    </w:div>
    <w:div w:id="165830807">
      <w:bodyDiv w:val="1"/>
      <w:marLeft w:val="0"/>
      <w:marRight w:val="0"/>
      <w:marTop w:val="0"/>
      <w:marBottom w:val="0"/>
      <w:divBdr>
        <w:top w:val="none" w:sz="0" w:space="0" w:color="auto"/>
        <w:left w:val="none" w:sz="0" w:space="0" w:color="auto"/>
        <w:bottom w:val="none" w:sz="0" w:space="0" w:color="auto"/>
        <w:right w:val="none" w:sz="0" w:space="0" w:color="auto"/>
      </w:divBdr>
    </w:div>
    <w:div w:id="167527362">
      <w:bodyDiv w:val="1"/>
      <w:marLeft w:val="0"/>
      <w:marRight w:val="0"/>
      <w:marTop w:val="0"/>
      <w:marBottom w:val="0"/>
      <w:divBdr>
        <w:top w:val="none" w:sz="0" w:space="0" w:color="auto"/>
        <w:left w:val="none" w:sz="0" w:space="0" w:color="auto"/>
        <w:bottom w:val="none" w:sz="0" w:space="0" w:color="auto"/>
        <w:right w:val="none" w:sz="0" w:space="0" w:color="auto"/>
      </w:divBdr>
    </w:div>
    <w:div w:id="182861920">
      <w:bodyDiv w:val="1"/>
      <w:marLeft w:val="0"/>
      <w:marRight w:val="0"/>
      <w:marTop w:val="0"/>
      <w:marBottom w:val="0"/>
      <w:divBdr>
        <w:top w:val="none" w:sz="0" w:space="0" w:color="auto"/>
        <w:left w:val="none" w:sz="0" w:space="0" w:color="auto"/>
        <w:bottom w:val="none" w:sz="0" w:space="0" w:color="auto"/>
        <w:right w:val="none" w:sz="0" w:space="0" w:color="auto"/>
      </w:divBdr>
      <w:divsChild>
        <w:div w:id="488138097">
          <w:marLeft w:val="1166"/>
          <w:marRight w:val="0"/>
          <w:marTop w:val="77"/>
          <w:marBottom w:val="0"/>
          <w:divBdr>
            <w:top w:val="none" w:sz="0" w:space="0" w:color="auto"/>
            <w:left w:val="none" w:sz="0" w:space="0" w:color="auto"/>
            <w:bottom w:val="none" w:sz="0" w:space="0" w:color="auto"/>
            <w:right w:val="none" w:sz="0" w:space="0" w:color="auto"/>
          </w:divBdr>
        </w:div>
        <w:div w:id="1302081993">
          <w:marLeft w:val="1166"/>
          <w:marRight w:val="0"/>
          <w:marTop w:val="77"/>
          <w:marBottom w:val="0"/>
          <w:divBdr>
            <w:top w:val="none" w:sz="0" w:space="0" w:color="auto"/>
            <w:left w:val="none" w:sz="0" w:space="0" w:color="auto"/>
            <w:bottom w:val="none" w:sz="0" w:space="0" w:color="auto"/>
            <w:right w:val="none" w:sz="0" w:space="0" w:color="auto"/>
          </w:divBdr>
        </w:div>
      </w:divsChild>
    </w:div>
    <w:div w:id="207305179">
      <w:bodyDiv w:val="1"/>
      <w:marLeft w:val="0"/>
      <w:marRight w:val="0"/>
      <w:marTop w:val="0"/>
      <w:marBottom w:val="0"/>
      <w:divBdr>
        <w:top w:val="none" w:sz="0" w:space="0" w:color="auto"/>
        <w:left w:val="none" w:sz="0" w:space="0" w:color="auto"/>
        <w:bottom w:val="none" w:sz="0" w:space="0" w:color="auto"/>
        <w:right w:val="none" w:sz="0" w:space="0" w:color="auto"/>
      </w:divBdr>
    </w:div>
    <w:div w:id="207647697">
      <w:bodyDiv w:val="1"/>
      <w:marLeft w:val="0"/>
      <w:marRight w:val="0"/>
      <w:marTop w:val="0"/>
      <w:marBottom w:val="0"/>
      <w:divBdr>
        <w:top w:val="none" w:sz="0" w:space="0" w:color="auto"/>
        <w:left w:val="none" w:sz="0" w:space="0" w:color="auto"/>
        <w:bottom w:val="none" w:sz="0" w:space="0" w:color="auto"/>
        <w:right w:val="none" w:sz="0" w:space="0" w:color="auto"/>
      </w:divBdr>
    </w:div>
    <w:div w:id="218564597">
      <w:bodyDiv w:val="1"/>
      <w:marLeft w:val="0"/>
      <w:marRight w:val="0"/>
      <w:marTop w:val="0"/>
      <w:marBottom w:val="0"/>
      <w:divBdr>
        <w:top w:val="none" w:sz="0" w:space="0" w:color="auto"/>
        <w:left w:val="none" w:sz="0" w:space="0" w:color="auto"/>
        <w:bottom w:val="none" w:sz="0" w:space="0" w:color="auto"/>
        <w:right w:val="none" w:sz="0" w:space="0" w:color="auto"/>
      </w:divBdr>
    </w:div>
    <w:div w:id="260646780">
      <w:bodyDiv w:val="1"/>
      <w:marLeft w:val="0"/>
      <w:marRight w:val="0"/>
      <w:marTop w:val="0"/>
      <w:marBottom w:val="0"/>
      <w:divBdr>
        <w:top w:val="none" w:sz="0" w:space="0" w:color="auto"/>
        <w:left w:val="none" w:sz="0" w:space="0" w:color="auto"/>
        <w:bottom w:val="none" w:sz="0" w:space="0" w:color="auto"/>
        <w:right w:val="none" w:sz="0" w:space="0" w:color="auto"/>
      </w:divBdr>
    </w:div>
    <w:div w:id="279387268">
      <w:bodyDiv w:val="1"/>
      <w:marLeft w:val="0"/>
      <w:marRight w:val="0"/>
      <w:marTop w:val="0"/>
      <w:marBottom w:val="0"/>
      <w:divBdr>
        <w:top w:val="none" w:sz="0" w:space="0" w:color="auto"/>
        <w:left w:val="none" w:sz="0" w:space="0" w:color="auto"/>
        <w:bottom w:val="none" w:sz="0" w:space="0" w:color="auto"/>
        <w:right w:val="none" w:sz="0" w:space="0" w:color="auto"/>
      </w:divBdr>
      <w:divsChild>
        <w:div w:id="62413560">
          <w:marLeft w:val="1166"/>
          <w:marRight w:val="0"/>
          <w:marTop w:val="86"/>
          <w:marBottom w:val="0"/>
          <w:divBdr>
            <w:top w:val="none" w:sz="0" w:space="0" w:color="auto"/>
            <w:left w:val="none" w:sz="0" w:space="0" w:color="auto"/>
            <w:bottom w:val="none" w:sz="0" w:space="0" w:color="auto"/>
            <w:right w:val="none" w:sz="0" w:space="0" w:color="auto"/>
          </w:divBdr>
        </w:div>
        <w:div w:id="615334289">
          <w:marLeft w:val="1166"/>
          <w:marRight w:val="0"/>
          <w:marTop w:val="86"/>
          <w:marBottom w:val="0"/>
          <w:divBdr>
            <w:top w:val="none" w:sz="0" w:space="0" w:color="auto"/>
            <w:left w:val="none" w:sz="0" w:space="0" w:color="auto"/>
            <w:bottom w:val="none" w:sz="0" w:space="0" w:color="auto"/>
            <w:right w:val="none" w:sz="0" w:space="0" w:color="auto"/>
          </w:divBdr>
        </w:div>
      </w:divsChild>
    </w:div>
    <w:div w:id="283848662">
      <w:bodyDiv w:val="1"/>
      <w:marLeft w:val="0"/>
      <w:marRight w:val="0"/>
      <w:marTop w:val="0"/>
      <w:marBottom w:val="0"/>
      <w:divBdr>
        <w:top w:val="none" w:sz="0" w:space="0" w:color="auto"/>
        <w:left w:val="none" w:sz="0" w:space="0" w:color="auto"/>
        <w:bottom w:val="none" w:sz="0" w:space="0" w:color="auto"/>
        <w:right w:val="none" w:sz="0" w:space="0" w:color="auto"/>
      </w:divBdr>
    </w:div>
    <w:div w:id="288126193">
      <w:bodyDiv w:val="1"/>
      <w:marLeft w:val="0"/>
      <w:marRight w:val="0"/>
      <w:marTop w:val="0"/>
      <w:marBottom w:val="0"/>
      <w:divBdr>
        <w:top w:val="none" w:sz="0" w:space="0" w:color="auto"/>
        <w:left w:val="none" w:sz="0" w:space="0" w:color="auto"/>
        <w:bottom w:val="none" w:sz="0" w:space="0" w:color="auto"/>
        <w:right w:val="none" w:sz="0" w:space="0" w:color="auto"/>
      </w:divBdr>
    </w:div>
    <w:div w:id="292759318">
      <w:bodyDiv w:val="1"/>
      <w:marLeft w:val="0"/>
      <w:marRight w:val="0"/>
      <w:marTop w:val="0"/>
      <w:marBottom w:val="0"/>
      <w:divBdr>
        <w:top w:val="none" w:sz="0" w:space="0" w:color="auto"/>
        <w:left w:val="none" w:sz="0" w:space="0" w:color="auto"/>
        <w:bottom w:val="none" w:sz="0" w:space="0" w:color="auto"/>
        <w:right w:val="none" w:sz="0" w:space="0" w:color="auto"/>
      </w:divBdr>
    </w:div>
    <w:div w:id="306125715">
      <w:bodyDiv w:val="1"/>
      <w:marLeft w:val="0"/>
      <w:marRight w:val="0"/>
      <w:marTop w:val="0"/>
      <w:marBottom w:val="0"/>
      <w:divBdr>
        <w:top w:val="none" w:sz="0" w:space="0" w:color="auto"/>
        <w:left w:val="none" w:sz="0" w:space="0" w:color="auto"/>
        <w:bottom w:val="none" w:sz="0" w:space="0" w:color="auto"/>
        <w:right w:val="none" w:sz="0" w:space="0" w:color="auto"/>
      </w:divBdr>
    </w:div>
    <w:div w:id="314377439">
      <w:bodyDiv w:val="1"/>
      <w:marLeft w:val="0"/>
      <w:marRight w:val="0"/>
      <w:marTop w:val="0"/>
      <w:marBottom w:val="0"/>
      <w:divBdr>
        <w:top w:val="none" w:sz="0" w:space="0" w:color="auto"/>
        <w:left w:val="none" w:sz="0" w:space="0" w:color="auto"/>
        <w:bottom w:val="none" w:sz="0" w:space="0" w:color="auto"/>
        <w:right w:val="none" w:sz="0" w:space="0" w:color="auto"/>
      </w:divBdr>
    </w:div>
    <w:div w:id="326595418">
      <w:bodyDiv w:val="1"/>
      <w:marLeft w:val="0"/>
      <w:marRight w:val="0"/>
      <w:marTop w:val="0"/>
      <w:marBottom w:val="0"/>
      <w:divBdr>
        <w:top w:val="none" w:sz="0" w:space="0" w:color="auto"/>
        <w:left w:val="none" w:sz="0" w:space="0" w:color="auto"/>
        <w:bottom w:val="none" w:sz="0" w:space="0" w:color="auto"/>
        <w:right w:val="none" w:sz="0" w:space="0" w:color="auto"/>
      </w:divBdr>
    </w:div>
    <w:div w:id="332758301">
      <w:bodyDiv w:val="1"/>
      <w:marLeft w:val="0"/>
      <w:marRight w:val="0"/>
      <w:marTop w:val="0"/>
      <w:marBottom w:val="0"/>
      <w:divBdr>
        <w:top w:val="none" w:sz="0" w:space="0" w:color="auto"/>
        <w:left w:val="none" w:sz="0" w:space="0" w:color="auto"/>
        <w:bottom w:val="none" w:sz="0" w:space="0" w:color="auto"/>
        <w:right w:val="none" w:sz="0" w:space="0" w:color="auto"/>
      </w:divBdr>
    </w:div>
    <w:div w:id="367797381">
      <w:bodyDiv w:val="1"/>
      <w:marLeft w:val="0"/>
      <w:marRight w:val="0"/>
      <w:marTop w:val="0"/>
      <w:marBottom w:val="0"/>
      <w:divBdr>
        <w:top w:val="none" w:sz="0" w:space="0" w:color="auto"/>
        <w:left w:val="none" w:sz="0" w:space="0" w:color="auto"/>
        <w:bottom w:val="none" w:sz="0" w:space="0" w:color="auto"/>
        <w:right w:val="none" w:sz="0" w:space="0" w:color="auto"/>
      </w:divBdr>
    </w:div>
    <w:div w:id="381102199">
      <w:bodyDiv w:val="1"/>
      <w:marLeft w:val="0"/>
      <w:marRight w:val="0"/>
      <w:marTop w:val="0"/>
      <w:marBottom w:val="0"/>
      <w:divBdr>
        <w:top w:val="none" w:sz="0" w:space="0" w:color="auto"/>
        <w:left w:val="none" w:sz="0" w:space="0" w:color="auto"/>
        <w:bottom w:val="none" w:sz="0" w:space="0" w:color="auto"/>
        <w:right w:val="none" w:sz="0" w:space="0" w:color="auto"/>
      </w:divBdr>
    </w:div>
    <w:div w:id="394549271">
      <w:bodyDiv w:val="1"/>
      <w:marLeft w:val="0"/>
      <w:marRight w:val="0"/>
      <w:marTop w:val="0"/>
      <w:marBottom w:val="0"/>
      <w:divBdr>
        <w:top w:val="none" w:sz="0" w:space="0" w:color="auto"/>
        <w:left w:val="none" w:sz="0" w:space="0" w:color="auto"/>
        <w:bottom w:val="none" w:sz="0" w:space="0" w:color="auto"/>
        <w:right w:val="none" w:sz="0" w:space="0" w:color="auto"/>
      </w:divBdr>
    </w:div>
    <w:div w:id="410126829">
      <w:bodyDiv w:val="1"/>
      <w:marLeft w:val="0"/>
      <w:marRight w:val="0"/>
      <w:marTop w:val="0"/>
      <w:marBottom w:val="0"/>
      <w:divBdr>
        <w:top w:val="none" w:sz="0" w:space="0" w:color="auto"/>
        <w:left w:val="none" w:sz="0" w:space="0" w:color="auto"/>
        <w:bottom w:val="none" w:sz="0" w:space="0" w:color="auto"/>
        <w:right w:val="none" w:sz="0" w:space="0" w:color="auto"/>
      </w:divBdr>
    </w:div>
    <w:div w:id="411782203">
      <w:bodyDiv w:val="1"/>
      <w:marLeft w:val="0"/>
      <w:marRight w:val="0"/>
      <w:marTop w:val="0"/>
      <w:marBottom w:val="0"/>
      <w:divBdr>
        <w:top w:val="none" w:sz="0" w:space="0" w:color="auto"/>
        <w:left w:val="none" w:sz="0" w:space="0" w:color="auto"/>
        <w:bottom w:val="none" w:sz="0" w:space="0" w:color="auto"/>
        <w:right w:val="none" w:sz="0" w:space="0" w:color="auto"/>
      </w:divBdr>
    </w:div>
    <w:div w:id="420760660">
      <w:bodyDiv w:val="1"/>
      <w:marLeft w:val="0"/>
      <w:marRight w:val="0"/>
      <w:marTop w:val="0"/>
      <w:marBottom w:val="0"/>
      <w:divBdr>
        <w:top w:val="none" w:sz="0" w:space="0" w:color="auto"/>
        <w:left w:val="none" w:sz="0" w:space="0" w:color="auto"/>
        <w:bottom w:val="none" w:sz="0" w:space="0" w:color="auto"/>
        <w:right w:val="none" w:sz="0" w:space="0" w:color="auto"/>
      </w:divBdr>
    </w:div>
    <w:div w:id="475537559">
      <w:bodyDiv w:val="1"/>
      <w:marLeft w:val="0"/>
      <w:marRight w:val="0"/>
      <w:marTop w:val="0"/>
      <w:marBottom w:val="0"/>
      <w:divBdr>
        <w:top w:val="none" w:sz="0" w:space="0" w:color="auto"/>
        <w:left w:val="none" w:sz="0" w:space="0" w:color="auto"/>
        <w:bottom w:val="none" w:sz="0" w:space="0" w:color="auto"/>
        <w:right w:val="none" w:sz="0" w:space="0" w:color="auto"/>
      </w:divBdr>
    </w:div>
    <w:div w:id="478034244">
      <w:bodyDiv w:val="1"/>
      <w:marLeft w:val="0"/>
      <w:marRight w:val="0"/>
      <w:marTop w:val="0"/>
      <w:marBottom w:val="0"/>
      <w:divBdr>
        <w:top w:val="none" w:sz="0" w:space="0" w:color="auto"/>
        <w:left w:val="none" w:sz="0" w:space="0" w:color="auto"/>
        <w:bottom w:val="none" w:sz="0" w:space="0" w:color="auto"/>
        <w:right w:val="none" w:sz="0" w:space="0" w:color="auto"/>
      </w:divBdr>
    </w:div>
    <w:div w:id="486433753">
      <w:bodyDiv w:val="1"/>
      <w:marLeft w:val="0"/>
      <w:marRight w:val="0"/>
      <w:marTop w:val="0"/>
      <w:marBottom w:val="0"/>
      <w:divBdr>
        <w:top w:val="none" w:sz="0" w:space="0" w:color="auto"/>
        <w:left w:val="none" w:sz="0" w:space="0" w:color="auto"/>
        <w:bottom w:val="none" w:sz="0" w:space="0" w:color="auto"/>
        <w:right w:val="none" w:sz="0" w:space="0" w:color="auto"/>
      </w:divBdr>
    </w:div>
    <w:div w:id="515968994">
      <w:bodyDiv w:val="1"/>
      <w:marLeft w:val="0"/>
      <w:marRight w:val="0"/>
      <w:marTop w:val="0"/>
      <w:marBottom w:val="0"/>
      <w:divBdr>
        <w:top w:val="none" w:sz="0" w:space="0" w:color="auto"/>
        <w:left w:val="none" w:sz="0" w:space="0" w:color="auto"/>
        <w:bottom w:val="none" w:sz="0" w:space="0" w:color="auto"/>
        <w:right w:val="none" w:sz="0" w:space="0" w:color="auto"/>
      </w:divBdr>
    </w:div>
    <w:div w:id="518395686">
      <w:bodyDiv w:val="1"/>
      <w:marLeft w:val="0"/>
      <w:marRight w:val="0"/>
      <w:marTop w:val="0"/>
      <w:marBottom w:val="0"/>
      <w:divBdr>
        <w:top w:val="none" w:sz="0" w:space="0" w:color="auto"/>
        <w:left w:val="none" w:sz="0" w:space="0" w:color="auto"/>
        <w:bottom w:val="none" w:sz="0" w:space="0" w:color="auto"/>
        <w:right w:val="none" w:sz="0" w:space="0" w:color="auto"/>
      </w:divBdr>
    </w:div>
    <w:div w:id="520322891">
      <w:bodyDiv w:val="1"/>
      <w:marLeft w:val="0"/>
      <w:marRight w:val="0"/>
      <w:marTop w:val="0"/>
      <w:marBottom w:val="0"/>
      <w:divBdr>
        <w:top w:val="none" w:sz="0" w:space="0" w:color="auto"/>
        <w:left w:val="none" w:sz="0" w:space="0" w:color="auto"/>
        <w:bottom w:val="none" w:sz="0" w:space="0" w:color="auto"/>
        <w:right w:val="none" w:sz="0" w:space="0" w:color="auto"/>
      </w:divBdr>
    </w:div>
    <w:div w:id="524830983">
      <w:bodyDiv w:val="1"/>
      <w:marLeft w:val="0"/>
      <w:marRight w:val="0"/>
      <w:marTop w:val="0"/>
      <w:marBottom w:val="0"/>
      <w:divBdr>
        <w:top w:val="none" w:sz="0" w:space="0" w:color="auto"/>
        <w:left w:val="none" w:sz="0" w:space="0" w:color="auto"/>
        <w:bottom w:val="none" w:sz="0" w:space="0" w:color="auto"/>
        <w:right w:val="none" w:sz="0" w:space="0" w:color="auto"/>
      </w:divBdr>
    </w:div>
    <w:div w:id="541090852">
      <w:bodyDiv w:val="1"/>
      <w:marLeft w:val="0"/>
      <w:marRight w:val="0"/>
      <w:marTop w:val="0"/>
      <w:marBottom w:val="0"/>
      <w:divBdr>
        <w:top w:val="none" w:sz="0" w:space="0" w:color="auto"/>
        <w:left w:val="none" w:sz="0" w:space="0" w:color="auto"/>
        <w:bottom w:val="none" w:sz="0" w:space="0" w:color="auto"/>
        <w:right w:val="none" w:sz="0" w:space="0" w:color="auto"/>
      </w:divBdr>
    </w:div>
    <w:div w:id="555362900">
      <w:bodyDiv w:val="1"/>
      <w:marLeft w:val="0"/>
      <w:marRight w:val="0"/>
      <w:marTop w:val="0"/>
      <w:marBottom w:val="0"/>
      <w:divBdr>
        <w:top w:val="none" w:sz="0" w:space="0" w:color="auto"/>
        <w:left w:val="none" w:sz="0" w:space="0" w:color="auto"/>
        <w:bottom w:val="none" w:sz="0" w:space="0" w:color="auto"/>
        <w:right w:val="none" w:sz="0" w:space="0" w:color="auto"/>
      </w:divBdr>
    </w:div>
    <w:div w:id="559026182">
      <w:bodyDiv w:val="1"/>
      <w:marLeft w:val="0"/>
      <w:marRight w:val="0"/>
      <w:marTop w:val="0"/>
      <w:marBottom w:val="0"/>
      <w:divBdr>
        <w:top w:val="none" w:sz="0" w:space="0" w:color="auto"/>
        <w:left w:val="none" w:sz="0" w:space="0" w:color="auto"/>
        <w:bottom w:val="none" w:sz="0" w:space="0" w:color="auto"/>
        <w:right w:val="none" w:sz="0" w:space="0" w:color="auto"/>
      </w:divBdr>
    </w:div>
    <w:div w:id="566722194">
      <w:bodyDiv w:val="1"/>
      <w:marLeft w:val="0"/>
      <w:marRight w:val="0"/>
      <w:marTop w:val="0"/>
      <w:marBottom w:val="0"/>
      <w:divBdr>
        <w:top w:val="none" w:sz="0" w:space="0" w:color="auto"/>
        <w:left w:val="none" w:sz="0" w:space="0" w:color="auto"/>
        <w:bottom w:val="none" w:sz="0" w:space="0" w:color="auto"/>
        <w:right w:val="none" w:sz="0" w:space="0" w:color="auto"/>
      </w:divBdr>
      <w:divsChild>
        <w:div w:id="95904537">
          <w:marLeft w:val="1166"/>
          <w:marRight w:val="0"/>
          <w:marTop w:val="130"/>
          <w:marBottom w:val="0"/>
          <w:divBdr>
            <w:top w:val="none" w:sz="0" w:space="0" w:color="auto"/>
            <w:left w:val="none" w:sz="0" w:space="0" w:color="auto"/>
            <w:bottom w:val="none" w:sz="0" w:space="0" w:color="auto"/>
            <w:right w:val="none" w:sz="0" w:space="0" w:color="auto"/>
          </w:divBdr>
        </w:div>
        <w:div w:id="1226913685">
          <w:marLeft w:val="1166"/>
          <w:marRight w:val="0"/>
          <w:marTop w:val="130"/>
          <w:marBottom w:val="0"/>
          <w:divBdr>
            <w:top w:val="none" w:sz="0" w:space="0" w:color="auto"/>
            <w:left w:val="none" w:sz="0" w:space="0" w:color="auto"/>
            <w:bottom w:val="none" w:sz="0" w:space="0" w:color="auto"/>
            <w:right w:val="none" w:sz="0" w:space="0" w:color="auto"/>
          </w:divBdr>
        </w:div>
        <w:div w:id="1292436730">
          <w:marLeft w:val="1166"/>
          <w:marRight w:val="0"/>
          <w:marTop w:val="130"/>
          <w:marBottom w:val="0"/>
          <w:divBdr>
            <w:top w:val="none" w:sz="0" w:space="0" w:color="auto"/>
            <w:left w:val="none" w:sz="0" w:space="0" w:color="auto"/>
            <w:bottom w:val="none" w:sz="0" w:space="0" w:color="auto"/>
            <w:right w:val="none" w:sz="0" w:space="0" w:color="auto"/>
          </w:divBdr>
        </w:div>
        <w:div w:id="1375227703">
          <w:marLeft w:val="1166"/>
          <w:marRight w:val="0"/>
          <w:marTop w:val="130"/>
          <w:marBottom w:val="0"/>
          <w:divBdr>
            <w:top w:val="none" w:sz="0" w:space="0" w:color="auto"/>
            <w:left w:val="none" w:sz="0" w:space="0" w:color="auto"/>
            <w:bottom w:val="none" w:sz="0" w:space="0" w:color="auto"/>
            <w:right w:val="none" w:sz="0" w:space="0" w:color="auto"/>
          </w:divBdr>
        </w:div>
        <w:div w:id="1420716161">
          <w:marLeft w:val="1166"/>
          <w:marRight w:val="0"/>
          <w:marTop w:val="130"/>
          <w:marBottom w:val="0"/>
          <w:divBdr>
            <w:top w:val="none" w:sz="0" w:space="0" w:color="auto"/>
            <w:left w:val="none" w:sz="0" w:space="0" w:color="auto"/>
            <w:bottom w:val="none" w:sz="0" w:space="0" w:color="auto"/>
            <w:right w:val="none" w:sz="0" w:space="0" w:color="auto"/>
          </w:divBdr>
        </w:div>
        <w:div w:id="1822455650">
          <w:marLeft w:val="1166"/>
          <w:marRight w:val="0"/>
          <w:marTop w:val="130"/>
          <w:marBottom w:val="0"/>
          <w:divBdr>
            <w:top w:val="none" w:sz="0" w:space="0" w:color="auto"/>
            <w:left w:val="none" w:sz="0" w:space="0" w:color="auto"/>
            <w:bottom w:val="none" w:sz="0" w:space="0" w:color="auto"/>
            <w:right w:val="none" w:sz="0" w:space="0" w:color="auto"/>
          </w:divBdr>
        </w:div>
      </w:divsChild>
    </w:div>
    <w:div w:id="582838024">
      <w:bodyDiv w:val="1"/>
      <w:marLeft w:val="0"/>
      <w:marRight w:val="0"/>
      <w:marTop w:val="0"/>
      <w:marBottom w:val="0"/>
      <w:divBdr>
        <w:top w:val="none" w:sz="0" w:space="0" w:color="auto"/>
        <w:left w:val="none" w:sz="0" w:space="0" w:color="auto"/>
        <w:bottom w:val="none" w:sz="0" w:space="0" w:color="auto"/>
        <w:right w:val="none" w:sz="0" w:space="0" w:color="auto"/>
      </w:divBdr>
    </w:div>
    <w:div w:id="624971633">
      <w:bodyDiv w:val="1"/>
      <w:marLeft w:val="0"/>
      <w:marRight w:val="0"/>
      <w:marTop w:val="0"/>
      <w:marBottom w:val="0"/>
      <w:divBdr>
        <w:top w:val="none" w:sz="0" w:space="0" w:color="auto"/>
        <w:left w:val="none" w:sz="0" w:space="0" w:color="auto"/>
        <w:bottom w:val="none" w:sz="0" w:space="0" w:color="auto"/>
        <w:right w:val="none" w:sz="0" w:space="0" w:color="auto"/>
      </w:divBdr>
    </w:div>
    <w:div w:id="626813876">
      <w:bodyDiv w:val="1"/>
      <w:marLeft w:val="0"/>
      <w:marRight w:val="0"/>
      <w:marTop w:val="0"/>
      <w:marBottom w:val="0"/>
      <w:divBdr>
        <w:top w:val="none" w:sz="0" w:space="0" w:color="auto"/>
        <w:left w:val="none" w:sz="0" w:space="0" w:color="auto"/>
        <w:bottom w:val="none" w:sz="0" w:space="0" w:color="auto"/>
        <w:right w:val="none" w:sz="0" w:space="0" w:color="auto"/>
      </w:divBdr>
    </w:div>
    <w:div w:id="630945714">
      <w:bodyDiv w:val="1"/>
      <w:marLeft w:val="0"/>
      <w:marRight w:val="0"/>
      <w:marTop w:val="0"/>
      <w:marBottom w:val="0"/>
      <w:divBdr>
        <w:top w:val="none" w:sz="0" w:space="0" w:color="auto"/>
        <w:left w:val="none" w:sz="0" w:space="0" w:color="auto"/>
        <w:bottom w:val="none" w:sz="0" w:space="0" w:color="auto"/>
        <w:right w:val="none" w:sz="0" w:space="0" w:color="auto"/>
      </w:divBdr>
      <w:divsChild>
        <w:div w:id="190147973">
          <w:marLeft w:val="547"/>
          <w:marRight w:val="0"/>
          <w:marTop w:val="96"/>
          <w:marBottom w:val="0"/>
          <w:divBdr>
            <w:top w:val="none" w:sz="0" w:space="0" w:color="auto"/>
            <w:left w:val="none" w:sz="0" w:space="0" w:color="auto"/>
            <w:bottom w:val="none" w:sz="0" w:space="0" w:color="auto"/>
            <w:right w:val="none" w:sz="0" w:space="0" w:color="auto"/>
          </w:divBdr>
        </w:div>
      </w:divsChild>
    </w:div>
    <w:div w:id="635524519">
      <w:bodyDiv w:val="1"/>
      <w:marLeft w:val="0"/>
      <w:marRight w:val="0"/>
      <w:marTop w:val="0"/>
      <w:marBottom w:val="0"/>
      <w:divBdr>
        <w:top w:val="none" w:sz="0" w:space="0" w:color="auto"/>
        <w:left w:val="none" w:sz="0" w:space="0" w:color="auto"/>
        <w:bottom w:val="none" w:sz="0" w:space="0" w:color="auto"/>
        <w:right w:val="none" w:sz="0" w:space="0" w:color="auto"/>
      </w:divBdr>
    </w:div>
    <w:div w:id="638609851">
      <w:bodyDiv w:val="1"/>
      <w:marLeft w:val="0"/>
      <w:marRight w:val="0"/>
      <w:marTop w:val="0"/>
      <w:marBottom w:val="0"/>
      <w:divBdr>
        <w:top w:val="none" w:sz="0" w:space="0" w:color="auto"/>
        <w:left w:val="none" w:sz="0" w:space="0" w:color="auto"/>
        <w:bottom w:val="none" w:sz="0" w:space="0" w:color="auto"/>
        <w:right w:val="none" w:sz="0" w:space="0" w:color="auto"/>
      </w:divBdr>
      <w:divsChild>
        <w:div w:id="177081773">
          <w:marLeft w:val="1166"/>
          <w:marRight w:val="0"/>
          <w:marTop w:val="77"/>
          <w:marBottom w:val="0"/>
          <w:divBdr>
            <w:top w:val="none" w:sz="0" w:space="0" w:color="auto"/>
            <w:left w:val="none" w:sz="0" w:space="0" w:color="auto"/>
            <w:bottom w:val="none" w:sz="0" w:space="0" w:color="auto"/>
            <w:right w:val="none" w:sz="0" w:space="0" w:color="auto"/>
          </w:divBdr>
        </w:div>
        <w:div w:id="602299244">
          <w:marLeft w:val="1166"/>
          <w:marRight w:val="0"/>
          <w:marTop w:val="77"/>
          <w:marBottom w:val="0"/>
          <w:divBdr>
            <w:top w:val="none" w:sz="0" w:space="0" w:color="auto"/>
            <w:left w:val="none" w:sz="0" w:space="0" w:color="auto"/>
            <w:bottom w:val="none" w:sz="0" w:space="0" w:color="auto"/>
            <w:right w:val="none" w:sz="0" w:space="0" w:color="auto"/>
          </w:divBdr>
        </w:div>
        <w:div w:id="909146895">
          <w:marLeft w:val="1166"/>
          <w:marRight w:val="0"/>
          <w:marTop w:val="77"/>
          <w:marBottom w:val="0"/>
          <w:divBdr>
            <w:top w:val="none" w:sz="0" w:space="0" w:color="auto"/>
            <w:left w:val="none" w:sz="0" w:space="0" w:color="auto"/>
            <w:bottom w:val="none" w:sz="0" w:space="0" w:color="auto"/>
            <w:right w:val="none" w:sz="0" w:space="0" w:color="auto"/>
          </w:divBdr>
        </w:div>
        <w:div w:id="915094384">
          <w:marLeft w:val="1166"/>
          <w:marRight w:val="0"/>
          <w:marTop w:val="77"/>
          <w:marBottom w:val="0"/>
          <w:divBdr>
            <w:top w:val="none" w:sz="0" w:space="0" w:color="auto"/>
            <w:left w:val="none" w:sz="0" w:space="0" w:color="auto"/>
            <w:bottom w:val="none" w:sz="0" w:space="0" w:color="auto"/>
            <w:right w:val="none" w:sz="0" w:space="0" w:color="auto"/>
          </w:divBdr>
        </w:div>
        <w:div w:id="1171062902">
          <w:marLeft w:val="1166"/>
          <w:marRight w:val="0"/>
          <w:marTop w:val="77"/>
          <w:marBottom w:val="0"/>
          <w:divBdr>
            <w:top w:val="none" w:sz="0" w:space="0" w:color="auto"/>
            <w:left w:val="none" w:sz="0" w:space="0" w:color="auto"/>
            <w:bottom w:val="none" w:sz="0" w:space="0" w:color="auto"/>
            <w:right w:val="none" w:sz="0" w:space="0" w:color="auto"/>
          </w:divBdr>
        </w:div>
        <w:div w:id="1272006172">
          <w:marLeft w:val="1166"/>
          <w:marRight w:val="0"/>
          <w:marTop w:val="77"/>
          <w:marBottom w:val="0"/>
          <w:divBdr>
            <w:top w:val="none" w:sz="0" w:space="0" w:color="auto"/>
            <w:left w:val="none" w:sz="0" w:space="0" w:color="auto"/>
            <w:bottom w:val="none" w:sz="0" w:space="0" w:color="auto"/>
            <w:right w:val="none" w:sz="0" w:space="0" w:color="auto"/>
          </w:divBdr>
        </w:div>
        <w:div w:id="1321272905">
          <w:marLeft w:val="1166"/>
          <w:marRight w:val="0"/>
          <w:marTop w:val="77"/>
          <w:marBottom w:val="0"/>
          <w:divBdr>
            <w:top w:val="none" w:sz="0" w:space="0" w:color="auto"/>
            <w:left w:val="none" w:sz="0" w:space="0" w:color="auto"/>
            <w:bottom w:val="none" w:sz="0" w:space="0" w:color="auto"/>
            <w:right w:val="none" w:sz="0" w:space="0" w:color="auto"/>
          </w:divBdr>
        </w:div>
      </w:divsChild>
    </w:div>
    <w:div w:id="659314295">
      <w:bodyDiv w:val="1"/>
      <w:marLeft w:val="0"/>
      <w:marRight w:val="0"/>
      <w:marTop w:val="0"/>
      <w:marBottom w:val="0"/>
      <w:divBdr>
        <w:top w:val="none" w:sz="0" w:space="0" w:color="auto"/>
        <w:left w:val="none" w:sz="0" w:space="0" w:color="auto"/>
        <w:bottom w:val="none" w:sz="0" w:space="0" w:color="auto"/>
        <w:right w:val="none" w:sz="0" w:space="0" w:color="auto"/>
      </w:divBdr>
    </w:div>
    <w:div w:id="666131067">
      <w:bodyDiv w:val="1"/>
      <w:marLeft w:val="0"/>
      <w:marRight w:val="0"/>
      <w:marTop w:val="0"/>
      <w:marBottom w:val="0"/>
      <w:divBdr>
        <w:top w:val="none" w:sz="0" w:space="0" w:color="auto"/>
        <w:left w:val="none" w:sz="0" w:space="0" w:color="auto"/>
        <w:bottom w:val="none" w:sz="0" w:space="0" w:color="auto"/>
        <w:right w:val="none" w:sz="0" w:space="0" w:color="auto"/>
      </w:divBdr>
    </w:div>
    <w:div w:id="682977798">
      <w:bodyDiv w:val="1"/>
      <w:marLeft w:val="0"/>
      <w:marRight w:val="0"/>
      <w:marTop w:val="0"/>
      <w:marBottom w:val="0"/>
      <w:divBdr>
        <w:top w:val="none" w:sz="0" w:space="0" w:color="auto"/>
        <w:left w:val="none" w:sz="0" w:space="0" w:color="auto"/>
        <w:bottom w:val="none" w:sz="0" w:space="0" w:color="auto"/>
        <w:right w:val="none" w:sz="0" w:space="0" w:color="auto"/>
      </w:divBdr>
    </w:div>
    <w:div w:id="702903973">
      <w:bodyDiv w:val="1"/>
      <w:marLeft w:val="0"/>
      <w:marRight w:val="0"/>
      <w:marTop w:val="0"/>
      <w:marBottom w:val="0"/>
      <w:divBdr>
        <w:top w:val="none" w:sz="0" w:space="0" w:color="auto"/>
        <w:left w:val="none" w:sz="0" w:space="0" w:color="auto"/>
        <w:bottom w:val="none" w:sz="0" w:space="0" w:color="auto"/>
        <w:right w:val="none" w:sz="0" w:space="0" w:color="auto"/>
      </w:divBdr>
    </w:div>
    <w:div w:id="755903157">
      <w:bodyDiv w:val="1"/>
      <w:marLeft w:val="0"/>
      <w:marRight w:val="0"/>
      <w:marTop w:val="0"/>
      <w:marBottom w:val="0"/>
      <w:divBdr>
        <w:top w:val="none" w:sz="0" w:space="0" w:color="auto"/>
        <w:left w:val="none" w:sz="0" w:space="0" w:color="auto"/>
        <w:bottom w:val="none" w:sz="0" w:space="0" w:color="auto"/>
        <w:right w:val="none" w:sz="0" w:space="0" w:color="auto"/>
      </w:divBdr>
    </w:div>
    <w:div w:id="758331167">
      <w:bodyDiv w:val="1"/>
      <w:marLeft w:val="0"/>
      <w:marRight w:val="0"/>
      <w:marTop w:val="0"/>
      <w:marBottom w:val="0"/>
      <w:divBdr>
        <w:top w:val="none" w:sz="0" w:space="0" w:color="auto"/>
        <w:left w:val="none" w:sz="0" w:space="0" w:color="auto"/>
        <w:bottom w:val="none" w:sz="0" w:space="0" w:color="auto"/>
        <w:right w:val="none" w:sz="0" w:space="0" w:color="auto"/>
      </w:divBdr>
    </w:div>
    <w:div w:id="762335004">
      <w:bodyDiv w:val="1"/>
      <w:marLeft w:val="0"/>
      <w:marRight w:val="0"/>
      <w:marTop w:val="0"/>
      <w:marBottom w:val="0"/>
      <w:divBdr>
        <w:top w:val="none" w:sz="0" w:space="0" w:color="auto"/>
        <w:left w:val="none" w:sz="0" w:space="0" w:color="auto"/>
        <w:bottom w:val="none" w:sz="0" w:space="0" w:color="auto"/>
        <w:right w:val="none" w:sz="0" w:space="0" w:color="auto"/>
      </w:divBdr>
    </w:div>
    <w:div w:id="789515812">
      <w:bodyDiv w:val="1"/>
      <w:marLeft w:val="0"/>
      <w:marRight w:val="0"/>
      <w:marTop w:val="0"/>
      <w:marBottom w:val="0"/>
      <w:divBdr>
        <w:top w:val="none" w:sz="0" w:space="0" w:color="auto"/>
        <w:left w:val="none" w:sz="0" w:space="0" w:color="auto"/>
        <w:bottom w:val="none" w:sz="0" w:space="0" w:color="auto"/>
        <w:right w:val="none" w:sz="0" w:space="0" w:color="auto"/>
      </w:divBdr>
    </w:div>
    <w:div w:id="791096960">
      <w:bodyDiv w:val="1"/>
      <w:marLeft w:val="0"/>
      <w:marRight w:val="0"/>
      <w:marTop w:val="0"/>
      <w:marBottom w:val="0"/>
      <w:divBdr>
        <w:top w:val="none" w:sz="0" w:space="0" w:color="auto"/>
        <w:left w:val="none" w:sz="0" w:space="0" w:color="auto"/>
        <w:bottom w:val="none" w:sz="0" w:space="0" w:color="auto"/>
        <w:right w:val="none" w:sz="0" w:space="0" w:color="auto"/>
      </w:divBdr>
    </w:div>
    <w:div w:id="809984801">
      <w:bodyDiv w:val="1"/>
      <w:marLeft w:val="0"/>
      <w:marRight w:val="0"/>
      <w:marTop w:val="0"/>
      <w:marBottom w:val="0"/>
      <w:divBdr>
        <w:top w:val="none" w:sz="0" w:space="0" w:color="auto"/>
        <w:left w:val="none" w:sz="0" w:space="0" w:color="auto"/>
        <w:bottom w:val="none" w:sz="0" w:space="0" w:color="auto"/>
        <w:right w:val="none" w:sz="0" w:space="0" w:color="auto"/>
      </w:divBdr>
    </w:div>
    <w:div w:id="829370715">
      <w:bodyDiv w:val="1"/>
      <w:marLeft w:val="0"/>
      <w:marRight w:val="0"/>
      <w:marTop w:val="0"/>
      <w:marBottom w:val="0"/>
      <w:divBdr>
        <w:top w:val="none" w:sz="0" w:space="0" w:color="auto"/>
        <w:left w:val="none" w:sz="0" w:space="0" w:color="auto"/>
        <w:bottom w:val="none" w:sz="0" w:space="0" w:color="auto"/>
        <w:right w:val="none" w:sz="0" w:space="0" w:color="auto"/>
      </w:divBdr>
    </w:div>
    <w:div w:id="841166289">
      <w:bodyDiv w:val="1"/>
      <w:marLeft w:val="0"/>
      <w:marRight w:val="0"/>
      <w:marTop w:val="0"/>
      <w:marBottom w:val="0"/>
      <w:divBdr>
        <w:top w:val="none" w:sz="0" w:space="0" w:color="auto"/>
        <w:left w:val="none" w:sz="0" w:space="0" w:color="auto"/>
        <w:bottom w:val="none" w:sz="0" w:space="0" w:color="auto"/>
        <w:right w:val="none" w:sz="0" w:space="0" w:color="auto"/>
      </w:divBdr>
      <w:divsChild>
        <w:div w:id="445153026">
          <w:marLeft w:val="1166"/>
          <w:marRight w:val="0"/>
          <w:marTop w:val="77"/>
          <w:marBottom w:val="0"/>
          <w:divBdr>
            <w:top w:val="none" w:sz="0" w:space="0" w:color="auto"/>
            <w:left w:val="none" w:sz="0" w:space="0" w:color="auto"/>
            <w:bottom w:val="none" w:sz="0" w:space="0" w:color="auto"/>
            <w:right w:val="none" w:sz="0" w:space="0" w:color="auto"/>
          </w:divBdr>
        </w:div>
        <w:div w:id="762653927">
          <w:marLeft w:val="1166"/>
          <w:marRight w:val="0"/>
          <w:marTop w:val="77"/>
          <w:marBottom w:val="0"/>
          <w:divBdr>
            <w:top w:val="none" w:sz="0" w:space="0" w:color="auto"/>
            <w:left w:val="none" w:sz="0" w:space="0" w:color="auto"/>
            <w:bottom w:val="none" w:sz="0" w:space="0" w:color="auto"/>
            <w:right w:val="none" w:sz="0" w:space="0" w:color="auto"/>
          </w:divBdr>
        </w:div>
        <w:div w:id="1110012104">
          <w:marLeft w:val="1166"/>
          <w:marRight w:val="0"/>
          <w:marTop w:val="77"/>
          <w:marBottom w:val="0"/>
          <w:divBdr>
            <w:top w:val="none" w:sz="0" w:space="0" w:color="auto"/>
            <w:left w:val="none" w:sz="0" w:space="0" w:color="auto"/>
            <w:bottom w:val="none" w:sz="0" w:space="0" w:color="auto"/>
            <w:right w:val="none" w:sz="0" w:space="0" w:color="auto"/>
          </w:divBdr>
        </w:div>
        <w:div w:id="1143233847">
          <w:marLeft w:val="1166"/>
          <w:marRight w:val="0"/>
          <w:marTop w:val="77"/>
          <w:marBottom w:val="0"/>
          <w:divBdr>
            <w:top w:val="none" w:sz="0" w:space="0" w:color="auto"/>
            <w:left w:val="none" w:sz="0" w:space="0" w:color="auto"/>
            <w:bottom w:val="none" w:sz="0" w:space="0" w:color="auto"/>
            <w:right w:val="none" w:sz="0" w:space="0" w:color="auto"/>
          </w:divBdr>
        </w:div>
      </w:divsChild>
    </w:div>
    <w:div w:id="843521248">
      <w:bodyDiv w:val="1"/>
      <w:marLeft w:val="0"/>
      <w:marRight w:val="0"/>
      <w:marTop w:val="0"/>
      <w:marBottom w:val="0"/>
      <w:divBdr>
        <w:top w:val="none" w:sz="0" w:space="0" w:color="auto"/>
        <w:left w:val="none" w:sz="0" w:space="0" w:color="auto"/>
        <w:bottom w:val="none" w:sz="0" w:space="0" w:color="auto"/>
        <w:right w:val="none" w:sz="0" w:space="0" w:color="auto"/>
      </w:divBdr>
    </w:div>
    <w:div w:id="870654969">
      <w:bodyDiv w:val="1"/>
      <w:marLeft w:val="0"/>
      <w:marRight w:val="0"/>
      <w:marTop w:val="0"/>
      <w:marBottom w:val="0"/>
      <w:divBdr>
        <w:top w:val="none" w:sz="0" w:space="0" w:color="auto"/>
        <w:left w:val="none" w:sz="0" w:space="0" w:color="auto"/>
        <w:bottom w:val="none" w:sz="0" w:space="0" w:color="auto"/>
        <w:right w:val="none" w:sz="0" w:space="0" w:color="auto"/>
      </w:divBdr>
    </w:div>
    <w:div w:id="898132162">
      <w:bodyDiv w:val="1"/>
      <w:marLeft w:val="0"/>
      <w:marRight w:val="0"/>
      <w:marTop w:val="0"/>
      <w:marBottom w:val="0"/>
      <w:divBdr>
        <w:top w:val="none" w:sz="0" w:space="0" w:color="auto"/>
        <w:left w:val="none" w:sz="0" w:space="0" w:color="auto"/>
        <w:bottom w:val="none" w:sz="0" w:space="0" w:color="auto"/>
        <w:right w:val="none" w:sz="0" w:space="0" w:color="auto"/>
      </w:divBdr>
      <w:divsChild>
        <w:div w:id="1730376194">
          <w:marLeft w:val="2074"/>
          <w:marRight w:val="0"/>
          <w:marTop w:val="0"/>
          <w:marBottom w:val="0"/>
          <w:divBdr>
            <w:top w:val="none" w:sz="0" w:space="0" w:color="auto"/>
            <w:left w:val="none" w:sz="0" w:space="0" w:color="auto"/>
            <w:bottom w:val="none" w:sz="0" w:space="0" w:color="auto"/>
            <w:right w:val="none" w:sz="0" w:space="0" w:color="auto"/>
          </w:divBdr>
        </w:div>
        <w:div w:id="723333482">
          <w:marLeft w:val="2074"/>
          <w:marRight w:val="0"/>
          <w:marTop w:val="0"/>
          <w:marBottom w:val="0"/>
          <w:divBdr>
            <w:top w:val="none" w:sz="0" w:space="0" w:color="auto"/>
            <w:left w:val="none" w:sz="0" w:space="0" w:color="auto"/>
            <w:bottom w:val="none" w:sz="0" w:space="0" w:color="auto"/>
            <w:right w:val="none" w:sz="0" w:space="0" w:color="auto"/>
          </w:divBdr>
        </w:div>
      </w:divsChild>
    </w:div>
    <w:div w:id="911046717">
      <w:bodyDiv w:val="1"/>
      <w:marLeft w:val="0"/>
      <w:marRight w:val="0"/>
      <w:marTop w:val="0"/>
      <w:marBottom w:val="0"/>
      <w:divBdr>
        <w:top w:val="none" w:sz="0" w:space="0" w:color="auto"/>
        <w:left w:val="none" w:sz="0" w:space="0" w:color="auto"/>
        <w:bottom w:val="none" w:sz="0" w:space="0" w:color="auto"/>
        <w:right w:val="none" w:sz="0" w:space="0" w:color="auto"/>
      </w:divBdr>
      <w:divsChild>
        <w:div w:id="547643998">
          <w:marLeft w:val="1166"/>
          <w:marRight w:val="0"/>
          <w:marTop w:val="77"/>
          <w:marBottom w:val="0"/>
          <w:divBdr>
            <w:top w:val="none" w:sz="0" w:space="0" w:color="auto"/>
            <w:left w:val="none" w:sz="0" w:space="0" w:color="auto"/>
            <w:bottom w:val="none" w:sz="0" w:space="0" w:color="auto"/>
            <w:right w:val="none" w:sz="0" w:space="0" w:color="auto"/>
          </w:divBdr>
        </w:div>
        <w:div w:id="1223558629">
          <w:marLeft w:val="1166"/>
          <w:marRight w:val="0"/>
          <w:marTop w:val="77"/>
          <w:marBottom w:val="0"/>
          <w:divBdr>
            <w:top w:val="none" w:sz="0" w:space="0" w:color="auto"/>
            <w:left w:val="none" w:sz="0" w:space="0" w:color="auto"/>
            <w:bottom w:val="none" w:sz="0" w:space="0" w:color="auto"/>
            <w:right w:val="none" w:sz="0" w:space="0" w:color="auto"/>
          </w:divBdr>
        </w:div>
        <w:div w:id="1752434763">
          <w:marLeft w:val="1166"/>
          <w:marRight w:val="0"/>
          <w:marTop w:val="77"/>
          <w:marBottom w:val="0"/>
          <w:divBdr>
            <w:top w:val="none" w:sz="0" w:space="0" w:color="auto"/>
            <w:left w:val="none" w:sz="0" w:space="0" w:color="auto"/>
            <w:bottom w:val="none" w:sz="0" w:space="0" w:color="auto"/>
            <w:right w:val="none" w:sz="0" w:space="0" w:color="auto"/>
          </w:divBdr>
        </w:div>
      </w:divsChild>
    </w:div>
    <w:div w:id="928923700">
      <w:bodyDiv w:val="1"/>
      <w:marLeft w:val="0"/>
      <w:marRight w:val="0"/>
      <w:marTop w:val="0"/>
      <w:marBottom w:val="0"/>
      <w:divBdr>
        <w:top w:val="none" w:sz="0" w:space="0" w:color="auto"/>
        <w:left w:val="none" w:sz="0" w:space="0" w:color="auto"/>
        <w:bottom w:val="none" w:sz="0" w:space="0" w:color="auto"/>
        <w:right w:val="none" w:sz="0" w:space="0" w:color="auto"/>
      </w:divBdr>
    </w:div>
    <w:div w:id="956640467">
      <w:bodyDiv w:val="1"/>
      <w:marLeft w:val="0"/>
      <w:marRight w:val="0"/>
      <w:marTop w:val="0"/>
      <w:marBottom w:val="0"/>
      <w:divBdr>
        <w:top w:val="none" w:sz="0" w:space="0" w:color="auto"/>
        <w:left w:val="none" w:sz="0" w:space="0" w:color="auto"/>
        <w:bottom w:val="none" w:sz="0" w:space="0" w:color="auto"/>
        <w:right w:val="none" w:sz="0" w:space="0" w:color="auto"/>
      </w:divBdr>
    </w:div>
    <w:div w:id="959188878">
      <w:bodyDiv w:val="1"/>
      <w:marLeft w:val="0"/>
      <w:marRight w:val="0"/>
      <w:marTop w:val="0"/>
      <w:marBottom w:val="0"/>
      <w:divBdr>
        <w:top w:val="none" w:sz="0" w:space="0" w:color="auto"/>
        <w:left w:val="none" w:sz="0" w:space="0" w:color="auto"/>
        <w:bottom w:val="none" w:sz="0" w:space="0" w:color="auto"/>
        <w:right w:val="none" w:sz="0" w:space="0" w:color="auto"/>
      </w:divBdr>
      <w:divsChild>
        <w:div w:id="283923059">
          <w:marLeft w:val="547"/>
          <w:marRight w:val="0"/>
          <w:marTop w:val="96"/>
          <w:marBottom w:val="0"/>
          <w:divBdr>
            <w:top w:val="none" w:sz="0" w:space="0" w:color="auto"/>
            <w:left w:val="none" w:sz="0" w:space="0" w:color="auto"/>
            <w:bottom w:val="none" w:sz="0" w:space="0" w:color="auto"/>
            <w:right w:val="none" w:sz="0" w:space="0" w:color="auto"/>
          </w:divBdr>
        </w:div>
        <w:div w:id="2144233193">
          <w:marLeft w:val="547"/>
          <w:marRight w:val="0"/>
          <w:marTop w:val="96"/>
          <w:marBottom w:val="0"/>
          <w:divBdr>
            <w:top w:val="none" w:sz="0" w:space="0" w:color="auto"/>
            <w:left w:val="none" w:sz="0" w:space="0" w:color="auto"/>
            <w:bottom w:val="none" w:sz="0" w:space="0" w:color="auto"/>
            <w:right w:val="none" w:sz="0" w:space="0" w:color="auto"/>
          </w:divBdr>
        </w:div>
      </w:divsChild>
    </w:div>
    <w:div w:id="966010871">
      <w:bodyDiv w:val="1"/>
      <w:marLeft w:val="0"/>
      <w:marRight w:val="0"/>
      <w:marTop w:val="0"/>
      <w:marBottom w:val="0"/>
      <w:divBdr>
        <w:top w:val="none" w:sz="0" w:space="0" w:color="auto"/>
        <w:left w:val="none" w:sz="0" w:space="0" w:color="auto"/>
        <w:bottom w:val="none" w:sz="0" w:space="0" w:color="auto"/>
        <w:right w:val="none" w:sz="0" w:space="0" w:color="auto"/>
      </w:divBdr>
    </w:div>
    <w:div w:id="1067458767">
      <w:bodyDiv w:val="1"/>
      <w:marLeft w:val="0"/>
      <w:marRight w:val="0"/>
      <w:marTop w:val="0"/>
      <w:marBottom w:val="0"/>
      <w:divBdr>
        <w:top w:val="none" w:sz="0" w:space="0" w:color="auto"/>
        <w:left w:val="none" w:sz="0" w:space="0" w:color="auto"/>
        <w:bottom w:val="none" w:sz="0" w:space="0" w:color="auto"/>
        <w:right w:val="none" w:sz="0" w:space="0" w:color="auto"/>
      </w:divBdr>
    </w:div>
    <w:div w:id="1078096637">
      <w:bodyDiv w:val="1"/>
      <w:marLeft w:val="0"/>
      <w:marRight w:val="0"/>
      <w:marTop w:val="0"/>
      <w:marBottom w:val="0"/>
      <w:divBdr>
        <w:top w:val="none" w:sz="0" w:space="0" w:color="auto"/>
        <w:left w:val="none" w:sz="0" w:space="0" w:color="auto"/>
        <w:bottom w:val="none" w:sz="0" w:space="0" w:color="auto"/>
        <w:right w:val="none" w:sz="0" w:space="0" w:color="auto"/>
      </w:divBdr>
    </w:div>
    <w:div w:id="1078283102">
      <w:bodyDiv w:val="1"/>
      <w:marLeft w:val="0"/>
      <w:marRight w:val="0"/>
      <w:marTop w:val="0"/>
      <w:marBottom w:val="0"/>
      <w:divBdr>
        <w:top w:val="none" w:sz="0" w:space="0" w:color="auto"/>
        <w:left w:val="none" w:sz="0" w:space="0" w:color="auto"/>
        <w:bottom w:val="none" w:sz="0" w:space="0" w:color="auto"/>
        <w:right w:val="none" w:sz="0" w:space="0" w:color="auto"/>
      </w:divBdr>
    </w:div>
    <w:div w:id="1091051950">
      <w:bodyDiv w:val="1"/>
      <w:marLeft w:val="0"/>
      <w:marRight w:val="0"/>
      <w:marTop w:val="0"/>
      <w:marBottom w:val="0"/>
      <w:divBdr>
        <w:top w:val="none" w:sz="0" w:space="0" w:color="auto"/>
        <w:left w:val="none" w:sz="0" w:space="0" w:color="auto"/>
        <w:bottom w:val="none" w:sz="0" w:space="0" w:color="auto"/>
        <w:right w:val="none" w:sz="0" w:space="0" w:color="auto"/>
      </w:divBdr>
    </w:div>
    <w:div w:id="1091391767">
      <w:bodyDiv w:val="1"/>
      <w:marLeft w:val="0"/>
      <w:marRight w:val="0"/>
      <w:marTop w:val="0"/>
      <w:marBottom w:val="0"/>
      <w:divBdr>
        <w:top w:val="none" w:sz="0" w:space="0" w:color="auto"/>
        <w:left w:val="none" w:sz="0" w:space="0" w:color="auto"/>
        <w:bottom w:val="none" w:sz="0" w:space="0" w:color="auto"/>
        <w:right w:val="none" w:sz="0" w:space="0" w:color="auto"/>
      </w:divBdr>
    </w:div>
    <w:div w:id="1094326505">
      <w:bodyDiv w:val="1"/>
      <w:marLeft w:val="0"/>
      <w:marRight w:val="0"/>
      <w:marTop w:val="0"/>
      <w:marBottom w:val="0"/>
      <w:divBdr>
        <w:top w:val="none" w:sz="0" w:space="0" w:color="auto"/>
        <w:left w:val="none" w:sz="0" w:space="0" w:color="auto"/>
        <w:bottom w:val="none" w:sz="0" w:space="0" w:color="auto"/>
        <w:right w:val="none" w:sz="0" w:space="0" w:color="auto"/>
      </w:divBdr>
      <w:divsChild>
        <w:div w:id="27610105">
          <w:marLeft w:val="1166"/>
          <w:marRight w:val="0"/>
          <w:marTop w:val="86"/>
          <w:marBottom w:val="0"/>
          <w:divBdr>
            <w:top w:val="none" w:sz="0" w:space="0" w:color="auto"/>
            <w:left w:val="none" w:sz="0" w:space="0" w:color="auto"/>
            <w:bottom w:val="none" w:sz="0" w:space="0" w:color="auto"/>
            <w:right w:val="none" w:sz="0" w:space="0" w:color="auto"/>
          </w:divBdr>
        </w:div>
        <w:div w:id="721516816">
          <w:marLeft w:val="1166"/>
          <w:marRight w:val="0"/>
          <w:marTop w:val="86"/>
          <w:marBottom w:val="0"/>
          <w:divBdr>
            <w:top w:val="none" w:sz="0" w:space="0" w:color="auto"/>
            <w:left w:val="none" w:sz="0" w:space="0" w:color="auto"/>
            <w:bottom w:val="none" w:sz="0" w:space="0" w:color="auto"/>
            <w:right w:val="none" w:sz="0" w:space="0" w:color="auto"/>
          </w:divBdr>
        </w:div>
        <w:div w:id="1882130874">
          <w:marLeft w:val="547"/>
          <w:marRight w:val="0"/>
          <w:marTop w:val="96"/>
          <w:marBottom w:val="0"/>
          <w:divBdr>
            <w:top w:val="none" w:sz="0" w:space="0" w:color="auto"/>
            <w:left w:val="none" w:sz="0" w:space="0" w:color="auto"/>
            <w:bottom w:val="none" w:sz="0" w:space="0" w:color="auto"/>
            <w:right w:val="none" w:sz="0" w:space="0" w:color="auto"/>
          </w:divBdr>
        </w:div>
      </w:divsChild>
    </w:div>
    <w:div w:id="1096361242">
      <w:bodyDiv w:val="1"/>
      <w:marLeft w:val="0"/>
      <w:marRight w:val="0"/>
      <w:marTop w:val="0"/>
      <w:marBottom w:val="0"/>
      <w:divBdr>
        <w:top w:val="none" w:sz="0" w:space="0" w:color="auto"/>
        <w:left w:val="none" w:sz="0" w:space="0" w:color="auto"/>
        <w:bottom w:val="none" w:sz="0" w:space="0" w:color="auto"/>
        <w:right w:val="none" w:sz="0" w:space="0" w:color="auto"/>
      </w:divBdr>
    </w:div>
    <w:div w:id="1106271197">
      <w:bodyDiv w:val="1"/>
      <w:marLeft w:val="0"/>
      <w:marRight w:val="0"/>
      <w:marTop w:val="0"/>
      <w:marBottom w:val="0"/>
      <w:divBdr>
        <w:top w:val="none" w:sz="0" w:space="0" w:color="auto"/>
        <w:left w:val="none" w:sz="0" w:space="0" w:color="auto"/>
        <w:bottom w:val="none" w:sz="0" w:space="0" w:color="auto"/>
        <w:right w:val="none" w:sz="0" w:space="0" w:color="auto"/>
      </w:divBdr>
      <w:divsChild>
        <w:div w:id="1801655546">
          <w:marLeft w:val="1166"/>
          <w:marRight w:val="0"/>
          <w:marTop w:val="77"/>
          <w:marBottom w:val="0"/>
          <w:divBdr>
            <w:top w:val="none" w:sz="0" w:space="0" w:color="auto"/>
            <w:left w:val="none" w:sz="0" w:space="0" w:color="auto"/>
            <w:bottom w:val="none" w:sz="0" w:space="0" w:color="auto"/>
            <w:right w:val="none" w:sz="0" w:space="0" w:color="auto"/>
          </w:divBdr>
        </w:div>
      </w:divsChild>
    </w:div>
    <w:div w:id="1118448752">
      <w:bodyDiv w:val="1"/>
      <w:marLeft w:val="0"/>
      <w:marRight w:val="0"/>
      <w:marTop w:val="0"/>
      <w:marBottom w:val="0"/>
      <w:divBdr>
        <w:top w:val="none" w:sz="0" w:space="0" w:color="auto"/>
        <w:left w:val="none" w:sz="0" w:space="0" w:color="auto"/>
        <w:bottom w:val="none" w:sz="0" w:space="0" w:color="auto"/>
        <w:right w:val="none" w:sz="0" w:space="0" w:color="auto"/>
      </w:divBdr>
    </w:div>
    <w:div w:id="1157302935">
      <w:bodyDiv w:val="1"/>
      <w:marLeft w:val="0"/>
      <w:marRight w:val="0"/>
      <w:marTop w:val="0"/>
      <w:marBottom w:val="0"/>
      <w:divBdr>
        <w:top w:val="none" w:sz="0" w:space="0" w:color="auto"/>
        <w:left w:val="none" w:sz="0" w:space="0" w:color="auto"/>
        <w:bottom w:val="none" w:sz="0" w:space="0" w:color="auto"/>
        <w:right w:val="none" w:sz="0" w:space="0" w:color="auto"/>
      </w:divBdr>
    </w:div>
    <w:div w:id="1160736294">
      <w:bodyDiv w:val="1"/>
      <w:marLeft w:val="0"/>
      <w:marRight w:val="0"/>
      <w:marTop w:val="0"/>
      <w:marBottom w:val="0"/>
      <w:divBdr>
        <w:top w:val="none" w:sz="0" w:space="0" w:color="auto"/>
        <w:left w:val="none" w:sz="0" w:space="0" w:color="auto"/>
        <w:bottom w:val="none" w:sz="0" w:space="0" w:color="auto"/>
        <w:right w:val="none" w:sz="0" w:space="0" w:color="auto"/>
      </w:divBdr>
    </w:div>
    <w:div w:id="1172719977">
      <w:bodyDiv w:val="1"/>
      <w:marLeft w:val="0"/>
      <w:marRight w:val="0"/>
      <w:marTop w:val="0"/>
      <w:marBottom w:val="0"/>
      <w:divBdr>
        <w:top w:val="none" w:sz="0" w:space="0" w:color="auto"/>
        <w:left w:val="none" w:sz="0" w:space="0" w:color="auto"/>
        <w:bottom w:val="none" w:sz="0" w:space="0" w:color="auto"/>
        <w:right w:val="none" w:sz="0" w:space="0" w:color="auto"/>
      </w:divBdr>
    </w:div>
    <w:div w:id="1174995817">
      <w:bodyDiv w:val="1"/>
      <w:marLeft w:val="0"/>
      <w:marRight w:val="0"/>
      <w:marTop w:val="0"/>
      <w:marBottom w:val="0"/>
      <w:divBdr>
        <w:top w:val="none" w:sz="0" w:space="0" w:color="auto"/>
        <w:left w:val="none" w:sz="0" w:space="0" w:color="auto"/>
        <w:bottom w:val="none" w:sz="0" w:space="0" w:color="auto"/>
        <w:right w:val="none" w:sz="0" w:space="0" w:color="auto"/>
      </w:divBdr>
    </w:div>
    <w:div w:id="1230455086">
      <w:bodyDiv w:val="1"/>
      <w:marLeft w:val="0"/>
      <w:marRight w:val="0"/>
      <w:marTop w:val="0"/>
      <w:marBottom w:val="0"/>
      <w:divBdr>
        <w:top w:val="none" w:sz="0" w:space="0" w:color="auto"/>
        <w:left w:val="none" w:sz="0" w:space="0" w:color="auto"/>
        <w:bottom w:val="none" w:sz="0" w:space="0" w:color="auto"/>
        <w:right w:val="none" w:sz="0" w:space="0" w:color="auto"/>
      </w:divBdr>
    </w:div>
    <w:div w:id="1250893266">
      <w:bodyDiv w:val="1"/>
      <w:marLeft w:val="0"/>
      <w:marRight w:val="0"/>
      <w:marTop w:val="0"/>
      <w:marBottom w:val="0"/>
      <w:divBdr>
        <w:top w:val="none" w:sz="0" w:space="0" w:color="auto"/>
        <w:left w:val="none" w:sz="0" w:space="0" w:color="auto"/>
        <w:bottom w:val="none" w:sz="0" w:space="0" w:color="auto"/>
        <w:right w:val="none" w:sz="0" w:space="0" w:color="auto"/>
      </w:divBdr>
    </w:div>
    <w:div w:id="1273318367">
      <w:bodyDiv w:val="1"/>
      <w:marLeft w:val="0"/>
      <w:marRight w:val="0"/>
      <w:marTop w:val="0"/>
      <w:marBottom w:val="0"/>
      <w:divBdr>
        <w:top w:val="none" w:sz="0" w:space="0" w:color="auto"/>
        <w:left w:val="none" w:sz="0" w:space="0" w:color="auto"/>
        <w:bottom w:val="none" w:sz="0" w:space="0" w:color="auto"/>
        <w:right w:val="none" w:sz="0" w:space="0" w:color="auto"/>
      </w:divBdr>
      <w:divsChild>
        <w:div w:id="646588801">
          <w:marLeft w:val="547"/>
          <w:marRight w:val="0"/>
          <w:marTop w:val="96"/>
          <w:marBottom w:val="0"/>
          <w:divBdr>
            <w:top w:val="none" w:sz="0" w:space="0" w:color="auto"/>
            <w:left w:val="none" w:sz="0" w:space="0" w:color="auto"/>
            <w:bottom w:val="none" w:sz="0" w:space="0" w:color="auto"/>
            <w:right w:val="none" w:sz="0" w:space="0" w:color="auto"/>
          </w:divBdr>
        </w:div>
        <w:div w:id="1354453629">
          <w:marLeft w:val="547"/>
          <w:marRight w:val="0"/>
          <w:marTop w:val="96"/>
          <w:marBottom w:val="0"/>
          <w:divBdr>
            <w:top w:val="none" w:sz="0" w:space="0" w:color="auto"/>
            <w:left w:val="none" w:sz="0" w:space="0" w:color="auto"/>
            <w:bottom w:val="none" w:sz="0" w:space="0" w:color="auto"/>
            <w:right w:val="none" w:sz="0" w:space="0" w:color="auto"/>
          </w:divBdr>
        </w:div>
        <w:div w:id="1491562145">
          <w:marLeft w:val="547"/>
          <w:marRight w:val="0"/>
          <w:marTop w:val="96"/>
          <w:marBottom w:val="0"/>
          <w:divBdr>
            <w:top w:val="none" w:sz="0" w:space="0" w:color="auto"/>
            <w:left w:val="none" w:sz="0" w:space="0" w:color="auto"/>
            <w:bottom w:val="none" w:sz="0" w:space="0" w:color="auto"/>
            <w:right w:val="none" w:sz="0" w:space="0" w:color="auto"/>
          </w:divBdr>
        </w:div>
        <w:div w:id="2036692012">
          <w:marLeft w:val="547"/>
          <w:marRight w:val="0"/>
          <w:marTop w:val="96"/>
          <w:marBottom w:val="0"/>
          <w:divBdr>
            <w:top w:val="none" w:sz="0" w:space="0" w:color="auto"/>
            <w:left w:val="none" w:sz="0" w:space="0" w:color="auto"/>
            <w:bottom w:val="none" w:sz="0" w:space="0" w:color="auto"/>
            <w:right w:val="none" w:sz="0" w:space="0" w:color="auto"/>
          </w:divBdr>
        </w:div>
      </w:divsChild>
    </w:div>
    <w:div w:id="1290669414">
      <w:bodyDiv w:val="1"/>
      <w:marLeft w:val="0"/>
      <w:marRight w:val="0"/>
      <w:marTop w:val="0"/>
      <w:marBottom w:val="0"/>
      <w:divBdr>
        <w:top w:val="none" w:sz="0" w:space="0" w:color="auto"/>
        <w:left w:val="none" w:sz="0" w:space="0" w:color="auto"/>
        <w:bottom w:val="none" w:sz="0" w:space="0" w:color="auto"/>
        <w:right w:val="none" w:sz="0" w:space="0" w:color="auto"/>
      </w:divBdr>
    </w:div>
    <w:div w:id="1291715088">
      <w:bodyDiv w:val="1"/>
      <w:marLeft w:val="0"/>
      <w:marRight w:val="0"/>
      <w:marTop w:val="0"/>
      <w:marBottom w:val="0"/>
      <w:divBdr>
        <w:top w:val="none" w:sz="0" w:space="0" w:color="auto"/>
        <w:left w:val="none" w:sz="0" w:space="0" w:color="auto"/>
        <w:bottom w:val="none" w:sz="0" w:space="0" w:color="auto"/>
        <w:right w:val="none" w:sz="0" w:space="0" w:color="auto"/>
      </w:divBdr>
      <w:divsChild>
        <w:div w:id="183860395">
          <w:marLeft w:val="547"/>
          <w:marRight w:val="0"/>
          <w:marTop w:val="96"/>
          <w:marBottom w:val="0"/>
          <w:divBdr>
            <w:top w:val="none" w:sz="0" w:space="0" w:color="auto"/>
            <w:left w:val="none" w:sz="0" w:space="0" w:color="auto"/>
            <w:bottom w:val="none" w:sz="0" w:space="0" w:color="auto"/>
            <w:right w:val="none" w:sz="0" w:space="0" w:color="auto"/>
          </w:divBdr>
        </w:div>
      </w:divsChild>
    </w:div>
    <w:div w:id="1304696627">
      <w:bodyDiv w:val="1"/>
      <w:marLeft w:val="0"/>
      <w:marRight w:val="0"/>
      <w:marTop w:val="0"/>
      <w:marBottom w:val="0"/>
      <w:divBdr>
        <w:top w:val="none" w:sz="0" w:space="0" w:color="auto"/>
        <w:left w:val="none" w:sz="0" w:space="0" w:color="auto"/>
        <w:bottom w:val="none" w:sz="0" w:space="0" w:color="auto"/>
        <w:right w:val="none" w:sz="0" w:space="0" w:color="auto"/>
      </w:divBdr>
    </w:div>
    <w:div w:id="1320309348">
      <w:bodyDiv w:val="1"/>
      <w:marLeft w:val="0"/>
      <w:marRight w:val="0"/>
      <w:marTop w:val="0"/>
      <w:marBottom w:val="0"/>
      <w:divBdr>
        <w:top w:val="none" w:sz="0" w:space="0" w:color="auto"/>
        <w:left w:val="none" w:sz="0" w:space="0" w:color="auto"/>
        <w:bottom w:val="none" w:sz="0" w:space="0" w:color="auto"/>
        <w:right w:val="none" w:sz="0" w:space="0" w:color="auto"/>
      </w:divBdr>
    </w:div>
    <w:div w:id="1327246749">
      <w:bodyDiv w:val="1"/>
      <w:marLeft w:val="0"/>
      <w:marRight w:val="0"/>
      <w:marTop w:val="0"/>
      <w:marBottom w:val="0"/>
      <w:divBdr>
        <w:top w:val="none" w:sz="0" w:space="0" w:color="auto"/>
        <w:left w:val="none" w:sz="0" w:space="0" w:color="auto"/>
        <w:bottom w:val="none" w:sz="0" w:space="0" w:color="auto"/>
        <w:right w:val="none" w:sz="0" w:space="0" w:color="auto"/>
      </w:divBdr>
      <w:divsChild>
        <w:div w:id="848638197">
          <w:marLeft w:val="1166"/>
          <w:marRight w:val="0"/>
          <w:marTop w:val="77"/>
          <w:marBottom w:val="0"/>
          <w:divBdr>
            <w:top w:val="none" w:sz="0" w:space="0" w:color="auto"/>
            <w:left w:val="none" w:sz="0" w:space="0" w:color="auto"/>
            <w:bottom w:val="none" w:sz="0" w:space="0" w:color="auto"/>
            <w:right w:val="none" w:sz="0" w:space="0" w:color="auto"/>
          </w:divBdr>
        </w:div>
        <w:div w:id="965046953">
          <w:marLeft w:val="1166"/>
          <w:marRight w:val="0"/>
          <w:marTop w:val="77"/>
          <w:marBottom w:val="0"/>
          <w:divBdr>
            <w:top w:val="none" w:sz="0" w:space="0" w:color="auto"/>
            <w:left w:val="none" w:sz="0" w:space="0" w:color="auto"/>
            <w:bottom w:val="none" w:sz="0" w:space="0" w:color="auto"/>
            <w:right w:val="none" w:sz="0" w:space="0" w:color="auto"/>
          </w:divBdr>
        </w:div>
        <w:div w:id="1924534148">
          <w:marLeft w:val="1166"/>
          <w:marRight w:val="0"/>
          <w:marTop w:val="77"/>
          <w:marBottom w:val="0"/>
          <w:divBdr>
            <w:top w:val="none" w:sz="0" w:space="0" w:color="auto"/>
            <w:left w:val="none" w:sz="0" w:space="0" w:color="auto"/>
            <w:bottom w:val="none" w:sz="0" w:space="0" w:color="auto"/>
            <w:right w:val="none" w:sz="0" w:space="0" w:color="auto"/>
          </w:divBdr>
        </w:div>
      </w:divsChild>
    </w:div>
    <w:div w:id="1341392096">
      <w:bodyDiv w:val="1"/>
      <w:marLeft w:val="0"/>
      <w:marRight w:val="0"/>
      <w:marTop w:val="0"/>
      <w:marBottom w:val="0"/>
      <w:divBdr>
        <w:top w:val="none" w:sz="0" w:space="0" w:color="auto"/>
        <w:left w:val="none" w:sz="0" w:space="0" w:color="auto"/>
        <w:bottom w:val="none" w:sz="0" w:space="0" w:color="auto"/>
        <w:right w:val="none" w:sz="0" w:space="0" w:color="auto"/>
      </w:divBdr>
      <w:divsChild>
        <w:div w:id="13042339">
          <w:marLeft w:val="1166"/>
          <w:marRight w:val="0"/>
          <w:marTop w:val="77"/>
          <w:marBottom w:val="0"/>
          <w:divBdr>
            <w:top w:val="none" w:sz="0" w:space="0" w:color="auto"/>
            <w:left w:val="none" w:sz="0" w:space="0" w:color="auto"/>
            <w:bottom w:val="none" w:sz="0" w:space="0" w:color="auto"/>
            <w:right w:val="none" w:sz="0" w:space="0" w:color="auto"/>
          </w:divBdr>
        </w:div>
        <w:div w:id="308245341">
          <w:marLeft w:val="1166"/>
          <w:marRight w:val="0"/>
          <w:marTop w:val="77"/>
          <w:marBottom w:val="0"/>
          <w:divBdr>
            <w:top w:val="none" w:sz="0" w:space="0" w:color="auto"/>
            <w:left w:val="none" w:sz="0" w:space="0" w:color="auto"/>
            <w:bottom w:val="none" w:sz="0" w:space="0" w:color="auto"/>
            <w:right w:val="none" w:sz="0" w:space="0" w:color="auto"/>
          </w:divBdr>
        </w:div>
        <w:div w:id="333578610">
          <w:marLeft w:val="1166"/>
          <w:marRight w:val="0"/>
          <w:marTop w:val="77"/>
          <w:marBottom w:val="0"/>
          <w:divBdr>
            <w:top w:val="none" w:sz="0" w:space="0" w:color="auto"/>
            <w:left w:val="none" w:sz="0" w:space="0" w:color="auto"/>
            <w:bottom w:val="none" w:sz="0" w:space="0" w:color="auto"/>
            <w:right w:val="none" w:sz="0" w:space="0" w:color="auto"/>
          </w:divBdr>
        </w:div>
        <w:div w:id="578365234">
          <w:marLeft w:val="1166"/>
          <w:marRight w:val="0"/>
          <w:marTop w:val="77"/>
          <w:marBottom w:val="0"/>
          <w:divBdr>
            <w:top w:val="none" w:sz="0" w:space="0" w:color="auto"/>
            <w:left w:val="none" w:sz="0" w:space="0" w:color="auto"/>
            <w:bottom w:val="none" w:sz="0" w:space="0" w:color="auto"/>
            <w:right w:val="none" w:sz="0" w:space="0" w:color="auto"/>
          </w:divBdr>
        </w:div>
        <w:div w:id="686370412">
          <w:marLeft w:val="547"/>
          <w:marRight w:val="0"/>
          <w:marTop w:val="96"/>
          <w:marBottom w:val="0"/>
          <w:divBdr>
            <w:top w:val="none" w:sz="0" w:space="0" w:color="auto"/>
            <w:left w:val="none" w:sz="0" w:space="0" w:color="auto"/>
            <w:bottom w:val="none" w:sz="0" w:space="0" w:color="auto"/>
            <w:right w:val="none" w:sz="0" w:space="0" w:color="auto"/>
          </w:divBdr>
        </w:div>
        <w:div w:id="900209766">
          <w:marLeft w:val="1166"/>
          <w:marRight w:val="0"/>
          <w:marTop w:val="77"/>
          <w:marBottom w:val="0"/>
          <w:divBdr>
            <w:top w:val="none" w:sz="0" w:space="0" w:color="auto"/>
            <w:left w:val="none" w:sz="0" w:space="0" w:color="auto"/>
            <w:bottom w:val="none" w:sz="0" w:space="0" w:color="auto"/>
            <w:right w:val="none" w:sz="0" w:space="0" w:color="auto"/>
          </w:divBdr>
        </w:div>
        <w:div w:id="1070034870">
          <w:marLeft w:val="1166"/>
          <w:marRight w:val="0"/>
          <w:marTop w:val="77"/>
          <w:marBottom w:val="0"/>
          <w:divBdr>
            <w:top w:val="none" w:sz="0" w:space="0" w:color="auto"/>
            <w:left w:val="none" w:sz="0" w:space="0" w:color="auto"/>
            <w:bottom w:val="none" w:sz="0" w:space="0" w:color="auto"/>
            <w:right w:val="none" w:sz="0" w:space="0" w:color="auto"/>
          </w:divBdr>
        </w:div>
        <w:div w:id="1132868011">
          <w:marLeft w:val="547"/>
          <w:marRight w:val="0"/>
          <w:marTop w:val="96"/>
          <w:marBottom w:val="0"/>
          <w:divBdr>
            <w:top w:val="none" w:sz="0" w:space="0" w:color="auto"/>
            <w:left w:val="none" w:sz="0" w:space="0" w:color="auto"/>
            <w:bottom w:val="none" w:sz="0" w:space="0" w:color="auto"/>
            <w:right w:val="none" w:sz="0" w:space="0" w:color="auto"/>
          </w:divBdr>
        </w:div>
        <w:div w:id="1360159656">
          <w:marLeft w:val="1166"/>
          <w:marRight w:val="0"/>
          <w:marTop w:val="77"/>
          <w:marBottom w:val="0"/>
          <w:divBdr>
            <w:top w:val="none" w:sz="0" w:space="0" w:color="auto"/>
            <w:left w:val="none" w:sz="0" w:space="0" w:color="auto"/>
            <w:bottom w:val="none" w:sz="0" w:space="0" w:color="auto"/>
            <w:right w:val="none" w:sz="0" w:space="0" w:color="auto"/>
          </w:divBdr>
        </w:div>
        <w:div w:id="1604416393">
          <w:marLeft w:val="1166"/>
          <w:marRight w:val="0"/>
          <w:marTop w:val="77"/>
          <w:marBottom w:val="0"/>
          <w:divBdr>
            <w:top w:val="none" w:sz="0" w:space="0" w:color="auto"/>
            <w:left w:val="none" w:sz="0" w:space="0" w:color="auto"/>
            <w:bottom w:val="none" w:sz="0" w:space="0" w:color="auto"/>
            <w:right w:val="none" w:sz="0" w:space="0" w:color="auto"/>
          </w:divBdr>
        </w:div>
        <w:div w:id="1735733049">
          <w:marLeft w:val="1166"/>
          <w:marRight w:val="0"/>
          <w:marTop w:val="77"/>
          <w:marBottom w:val="0"/>
          <w:divBdr>
            <w:top w:val="none" w:sz="0" w:space="0" w:color="auto"/>
            <w:left w:val="none" w:sz="0" w:space="0" w:color="auto"/>
            <w:bottom w:val="none" w:sz="0" w:space="0" w:color="auto"/>
            <w:right w:val="none" w:sz="0" w:space="0" w:color="auto"/>
          </w:divBdr>
        </w:div>
        <w:div w:id="1754819829">
          <w:marLeft w:val="1166"/>
          <w:marRight w:val="0"/>
          <w:marTop w:val="77"/>
          <w:marBottom w:val="0"/>
          <w:divBdr>
            <w:top w:val="none" w:sz="0" w:space="0" w:color="auto"/>
            <w:left w:val="none" w:sz="0" w:space="0" w:color="auto"/>
            <w:bottom w:val="none" w:sz="0" w:space="0" w:color="auto"/>
            <w:right w:val="none" w:sz="0" w:space="0" w:color="auto"/>
          </w:divBdr>
        </w:div>
        <w:div w:id="1837722944">
          <w:marLeft w:val="547"/>
          <w:marRight w:val="0"/>
          <w:marTop w:val="96"/>
          <w:marBottom w:val="0"/>
          <w:divBdr>
            <w:top w:val="none" w:sz="0" w:space="0" w:color="auto"/>
            <w:left w:val="none" w:sz="0" w:space="0" w:color="auto"/>
            <w:bottom w:val="none" w:sz="0" w:space="0" w:color="auto"/>
            <w:right w:val="none" w:sz="0" w:space="0" w:color="auto"/>
          </w:divBdr>
        </w:div>
        <w:div w:id="1848712234">
          <w:marLeft w:val="1166"/>
          <w:marRight w:val="0"/>
          <w:marTop w:val="77"/>
          <w:marBottom w:val="0"/>
          <w:divBdr>
            <w:top w:val="none" w:sz="0" w:space="0" w:color="auto"/>
            <w:left w:val="none" w:sz="0" w:space="0" w:color="auto"/>
            <w:bottom w:val="none" w:sz="0" w:space="0" w:color="auto"/>
            <w:right w:val="none" w:sz="0" w:space="0" w:color="auto"/>
          </w:divBdr>
        </w:div>
        <w:div w:id="1988776634">
          <w:marLeft w:val="1166"/>
          <w:marRight w:val="0"/>
          <w:marTop w:val="77"/>
          <w:marBottom w:val="0"/>
          <w:divBdr>
            <w:top w:val="none" w:sz="0" w:space="0" w:color="auto"/>
            <w:left w:val="none" w:sz="0" w:space="0" w:color="auto"/>
            <w:bottom w:val="none" w:sz="0" w:space="0" w:color="auto"/>
            <w:right w:val="none" w:sz="0" w:space="0" w:color="auto"/>
          </w:divBdr>
        </w:div>
      </w:divsChild>
    </w:div>
    <w:div w:id="1341930825">
      <w:bodyDiv w:val="1"/>
      <w:marLeft w:val="0"/>
      <w:marRight w:val="0"/>
      <w:marTop w:val="0"/>
      <w:marBottom w:val="0"/>
      <w:divBdr>
        <w:top w:val="none" w:sz="0" w:space="0" w:color="auto"/>
        <w:left w:val="none" w:sz="0" w:space="0" w:color="auto"/>
        <w:bottom w:val="none" w:sz="0" w:space="0" w:color="auto"/>
        <w:right w:val="none" w:sz="0" w:space="0" w:color="auto"/>
      </w:divBdr>
    </w:div>
    <w:div w:id="1346401432">
      <w:bodyDiv w:val="1"/>
      <w:marLeft w:val="0"/>
      <w:marRight w:val="0"/>
      <w:marTop w:val="0"/>
      <w:marBottom w:val="0"/>
      <w:divBdr>
        <w:top w:val="none" w:sz="0" w:space="0" w:color="auto"/>
        <w:left w:val="none" w:sz="0" w:space="0" w:color="auto"/>
        <w:bottom w:val="none" w:sz="0" w:space="0" w:color="auto"/>
        <w:right w:val="none" w:sz="0" w:space="0" w:color="auto"/>
      </w:divBdr>
    </w:div>
    <w:div w:id="1355888711">
      <w:bodyDiv w:val="1"/>
      <w:marLeft w:val="0"/>
      <w:marRight w:val="0"/>
      <w:marTop w:val="0"/>
      <w:marBottom w:val="0"/>
      <w:divBdr>
        <w:top w:val="none" w:sz="0" w:space="0" w:color="auto"/>
        <w:left w:val="none" w:sz="0" w:space="0" w:color="auto"/>
        <w:bottom w:val="none" w:sz="0" w:space="0" w:color="auto"/>
        <w:right w:val="none" w:sz="0" w:space="0" w:color="auto"/>
      </w:divBdr>
    </w:div>
    <w:div w:id="1391880505">
      <w:bodyDiv w:val="1"/>
      <w:marLeft w:val="0"/>
      <w:marRight w:val="0"/>
      <w:marTop w:val="0"/>
      <w:marBottom w:val="0"/>
      <w:divBdr>
        <w:top w:val="none" w:sz="0" w:space="0" w:color="auto"/>
        <w:left w:val="none" w:sz="0" w:space="0" w:color="auto"/>
        <w:bottom w:val="none" w:sz="0" w:space="0" w:color="auto"/>
        <w:right w:val="none" w:sz="0" w:space="0" w:color="auto"/>
      </w:divBdr>
    </w:div>
    <w:div w:id="1401365240">
      <w:bodyDiv w:val="1"/>
      <w:marLeft w:val="0"/>
      <w:marRight w:val="0"/>
      <w:marTop w:val="0"/>
      <w:marBottom w:val="0"/>
      <w:divBdr>
        <w:top w:val="none" w:sz="0" w:space="0" w:color="auto"/>
        <w:left w:val="none" w:sz="0" w:space="0" w:color="auto"/>
        <w:bottom w:val="none" w:sz="0" w:space="0" w:color="auto"/>
        <w:right w:val="none" w:sz="0" w:space="0" w:color="auto"/>
      </w:divBdr>
    </w:div>
    <w:div w:id="1402755005">
      <w:bodyDiv w:val="1"/>
      <w:marLeft w:val="0"/>
      <w:marRight w:val="0"/>
      <w:marTop w:val="0"/>
      <w:marBottom w:val="0"/>
      <w:divBdr>
        <w:top w:val="none" w:sz="0" w:space="0" w:color="auto"/>
        <w:left w:val="none" w:sz="0" w:space="0" w:color="auto"/>
        <w:bottom w:val="none" w:sz="0" w:space="0" w:color="auto"/>
        <w:right w:val="none" w:sz="0" w:space="0" w:color="auto"/>
      </w:divBdr>
      <w:divsChild>
        <w:div w:id="59406043">
          <w:marLeft w:val="1166"/>
          <w:marRight w:val="0"/>
          <w:marTop w:val="77"/>
          <w:marBottom w:val="0"/>
          <w:divBdr>
            <w:top w:val="none" w:sz="0" w:space="0" w:color="auto"/>
            <w:left w:val="none" w:sz="0" w:space="0" w:color="auto"/>
            <w:bottom w:val="none" w:sz="0" w:space="0" w:color="auto"/>
            <w:right w:val="none" w:sz="0" w:space="0" w:color="auto"/>
          </w:divBdr>
        </w:div>
        <w:div w:id="1495298478">
          <w:marLeft w:val="1166"/>
          <w:marRight w:val="0"/>
          <w:marTop w:val="77"/>
          <w:marBottom w:val="0"/>
          <w:divBdr>
            <w:top w:val="none" w:sz="0" w:space="0" w:color="auto"/>
            <w:left w:val="none" w:sz="0" w:space="0" w:color="auto"/>
            <w:bottom w:val="none" w:sz="0" w:space="0" w:color="auto"/>
            <w:right w:val="none" w:sz="0" w:space="0" w:color="auto"/>
          </w:divBdr>
        </w:div>
      </w:divsChild>
    </w:div>
    <w:div w:id="1406875371">
      <w:bodyDiv w:val="1"/>
      <w:marLeft w:val="0"/>
      <w:marRight w:val="0"/>
      <w:marTop w:val="0"/>
      <w:marBottom w:val="0"/>
      <w:divBdr>
        <w:top w:val="none" w:sz="0" w:space="0" w:color="auto"/>
        <w:left w:val="none" w:sz="0" w:space="0" w:color="auto"/>
        <w:bottom w:val="none" w:sz="0" w:space="0" w:color="auto"/>
        <w:right w:val="none" w:sz="0" w:space="0" w:color="auto"/>
      </w:divBdr>
      <w:divsChild>
        <w:div w:id="236134518">
          <w:marLeft w:val="547"/>
          <w:marRight w:val="0"/>
          <w:marTop w:val="96"/>
          <w:marBottom w:val="0"/>
          <w:divBdr>
            <w:top w:val="none" w:sz="0" w:space="0" w:color="auto"/>
            <w:left w:val="none" w:sz="0" w:space="0" w:color="auto"/>
            <w:bottom w:val="none" w:sz="0" w:space="0" w:color="auto"/>
            <w:right w:val="none" w:sz="0" w:space="0" w:color="auto"/>
          </w:divBdr>
        </w:div>
      </w:divsChild>
    </w:div>
    <w:div w:id="1412040724">
      <w:bodyDiv w:val="1"/>
      <w:marLeft w:val="0"/>
      <w:marRight w:val="0"/>
      <w:marTop w:val="0"/>
      <w:marBottom w:val="0"/>
      <w:divBdr>
        <w:top w:val="none" w:sz="0" w:space="0" w:color="auto"/>
        <w:left w:val="none" w:sz="0" w:space="0" w:color="auto"/>
        <w:bottom w:val="none" w:sz="0" w:space="0" w:color="auto"/>
        <w:right w:val="none" w:sz="0" w:space="0" w:color="auto"/>
      </w:divBdr>
    </w:div>
    <w:div w:id="1443571301">
      <w:bodyDiv w:val="1"/>
      <w:marLeft w:val="0"/>
      <w:marRight w:val="0"/>
      <w:marTop w:val="0"/>
      <w:marBottom w:val="0"/>
      <w:divBdr>
        <w:top w:val="none" w:sz="0" w:space="0" w:color="auto"/>
        <w:left w:val="none" w:sz="0" w:space="0" w:color="auto"/>
        <w:bottom w:val="none" w:sz="0" w:space="0" w:color="auto"/>
        <w:right w:val="none" w:sz="0" w:space="0" w:color="auto"/>
      </w:divBdr>
    </w:div>
    <w:div w:id="1443694326">
      <w:bodyDiv w:val="1"/>
      <w:marLeft w:val="0"/>
      <w:marRight w:val="0"/>
      <w:marTop w:val="0"/>
      <w:marBottom w:val="0"/>
      <w:divBdr>
        <w:top w:val="none" w:sz="0" w:space="0" w:color="auto"/>
        <w:left w:val="none" w:sz="0" w:space="0" w:color="auto"/>
        <w:bottom w:val="none" w:sz="0" w:space="0" w:color="auto"/>
        <w:right w:val="none" w:sz="0" w:space="0" w:color="auto"/>
      </w:divBdr>
    </w:div>
    <w:div w:id="1444303937">
      <w:bodyDiv w:val="1"/>
      <w:marLeft w:val="0"/>
      <w:marRight w:val="0"/>
      <w:marTop w:val="0"/>
      <w:marBottom w:val="0"/>
      <w:divBdr>
        <w:top w:val="none" w:sz="0" w:space="0" w:color="auto"/>
        <w:left w:val="none" w:sz="0" w:space="0" w:color="auto"/>
        <w:bottom w:val="none" w:sz="0" w:space="0" w:color="auto"/>
        <w:right w:val="none" w:sz="0" w:space="0" w:color="auto"/>
      </w:divBdr>
    </w:div>
    <w:div w:id="1469055877">
      <w:bodyDiv w:val="1"/>
      <w:marLeft w:val="0"/>
      <w:marRight w:val="0"/>
      <w:marTop w:val="0"/>
      <w:marBottom w:val="0"/>
      <w:divBdr>
        <w:top w:val="none" w:sz="0" w:space="0" w:color="auto"/>
        <w:left w:val="none" w:sz="0" w:space="0" w:color="auto"/>
        <w:bottom w:val="none" w:sz="0" w:space="0" w:color="auto"/>
        <w:right w:val="none" w:sz="0" w:space="0" w:color="auto"/>
      </w:divBdr>
      <w:divsChild>
        <w:div w:id="498891330">
          <w:marLeft w:val="1166"/>
          <w:marRight w:val="0"/>
          <w:marTop w:val="86"/>
          <w:marBottom w:val="0"/>
          <w:divBdr>
            <w:top w:val="none" w:sz="0" w:space="0" w:color="auto"/>
            <w:left w:val="none" w:sz="0" w:space="0" w:color="auto"/>
            <w:bottom w:val="none" w:sz="0" w:space="0" w:color="auto"/>
            <w:right w:val="none" w:sz="0" w:space="0" w:color="auto"/>
          </w:divBdr>
        </w:div>
        <w:div w:id="1085223113">
          <w:marLeft w:val="1166"/>
          <w:marRight w:val="0"/>
          <w:marTop w:val="86"/>
          <w:marBottom w:val="0"/>
          <w:divBdr>
            <w:top w:val="none" w:sz="0" w:space="0" w:color="auto"/>
            <w:left w:val="none" w:sz="0" w:space="0" w:color="auto"/>
            <w:bottom w:val="none" w:sz="0" w:space="0" w:color="auto"/>
            <w:right w:val="none" w:sz="0" w:space="0" w:color="auto"/>
          </w:divBdr>
        </w:div>
        <w:div w:id="1161039644">
          <w:marLeft w:val="1166"/>
          <w:marRight w:val="0"/>
          <w:marTop w:val="86"/>
          <w:marBottom w:val="0"/>
          <w:divBdr>
            <w:top w:val="none" w:sz="0" w:space="0" w:color="auto"/>
            <w:left w:val="none" w:sz="0" w:space="0" w:color="auto"/>
            <w:bottom w:val="none" w:sz="0" w:space="0" w:color="auto"/>
            <w:right w:val="none" w:sz="0" w:space="0" w:color="auto"/>
          </w:divBdr>
        </w:div>
      </w:divsChild>
    </w:div>
    <w:div w:id="1476794780">
      <w:bodyDiv w:val="1"/>
      <w:marLeft w:val="0"/>
      <w:marRight w:val="0"/>
      <w:marTop w:val="0"/>
      <w:marBottom w:val="0"/>
      <w:divBdr>
        <w:top w:val="none" w:sz="0" w:space="0" w:color="auto"/>
        <w:left w:val="none" w:sz="0" w:space="0" w:color="auto"/>
        <w:bottom w:val="none" w:sz="0" w:space="0" w:color="auto"/>
        <w:right w:val="none" w:sz="0" w:space="0" w:color="auto"/>
      </w:divBdr>
    </w:div>
    <w:div w:id="1518038747">
      <w:bodyDiv w:val="1"/>
      <w:marLeft w:val="0"/>
      <w:marRight w:val="0"/>
      <w:marTop w:val="0"/>
      <w:marBottom w:val="0"/>
      <w:divBdr>
        <w:top w:val="none" w:sz="0" w:space="0" w:color="auto"/>
        <w:left w:val="none" w:sz="0" w:space="0" w:color="auto"/>
        <w:bottom w:val="none" w:sz="0" w:space="0" w:color="auto"/>
        <w:right w:val="none" w:sz="0" w:space="0" w:color="auto"/>
      </w:divBdr>
    </w:div>
    <w:div w:id="1525631917">
      <w:bodyDiv w:val="1"/>
      <w:marLeft w:val="0"/>
      <w:marRight w:val="0"/>
      <w:marTop w:val="0"/>
      <w:marBottom w:val="0"/>
      <w:divBdr>
        <w:top w:val="none" w:sz="0" w:space="0" w:color="auto"/>
        <w:left w:val="none" w:sz="0" w:space="0" w:color="auto"/>
        <w:bottom w:val="none" w:sz="0" w:space="0" w:color="auto"/>
        <w:right w:val="none" w:sz="0" w:space="0" w:color="auto"/>
      </w:divBdr>
    </w:div>
    <w:div w:id="1527602208">
      <w:bodyDiv w:val="1"/>
      <w:marLeft w:val="0"/>
      <w:marRight w:val="0"/>
      <w:marTop w:val="0"/>
      <w:marBottom w:val="0"/>
      <w:divBdr>
        <w:top w:val="none" w:sz="0" w:space="0" w:color="auto"/>
        <w:left w:val="none" w:sz="0" w:space="0" w:color="auto"/>
        <w:bottom w:val="none" w:sz="0" w:space="0" w:color="auto"/>
        <w:right w:val="none" w:sz="0" w:space="0" w:color="auto"/>
      </w:divBdr>
      <w:divsChild>
        <w:div w:id="754205244">
          <w:marLeft w:val="1354"/>
          <w:marRight w:val="0"/>
          <w:marTop w:val="0"/>
          <w:marBottom w:val="0"/>
          <w:divBdr>
            <w:top w:val="none" w:sz="0" w:space="0" w:color="auto"/>
            <w:left w:val="none" w:sz="0" w:space="0" w:color="auto"/>
            <w:bottom w:val="none" w:sz="0" w:space="0" w:color="auto"/>
            <w:right w:val="none" w:sz="0" w:space="0" w:color="auto"/>
          </w:divBdr>
        </w:div>
        <w:div w:id="1062755327">
          <w:marLeft w:val="1354"/>
          <w:marRight w:val="0"/>
          <w:marTop w:val="0"/>
          <w:marBottom w:val="0"/>
          <w:divBdr>
            <w:top w:val="none" w:sz="0" w:space="0" w:color="auto"/>
            <w:left w:val="none" w:sz="0" w:space="0" w:color="auto"/>
            <w:bottom w:val="none" w:sz="0" w:space="0" w:color="auto"/>
            <w:right w:val="none" w:sz="0" w:space="0" w:color="auto"/>
          </w:divBdr>
        </w:div>
        <w:div w:id="2136214804">
          <w:marLeft w:val="1354"/>
          <w:marRight w:val="0"/>
          <w:marTop w:val="0"/>
          <w:marBottom w:val="0"/>
          <w:divBdr>
            <w:top w:val="none" w:sz="0" w:space="0" w:color="auto"/>
            <w:left w:val="none" w:sz="0" w:space="0" w:color="auto"/>
            <w:bottom w:val="none" w:sz="0" w:space="0" w:color="auto"/>
            <w:right w:val="none" w:sz="0" w:space="0" w:color="auto"/>
          </w:divBdr>
        </w:div>
      </w:divsChild>
    </w:div>
    <w:div w:id="1551333749">
      <w:bodyDiv w:val="1"/>
      <w:marLeft w:val="0"/>
      <w:marRight w:val="0"/>
      <w:marTop w:val="0"/>
      <w:marBottom w:val="0"/>
      <w:divBdr>
        <w:top w:val="none" w:sz="0" w:space="0" w:color="auto"/>
        <w:left w:val="none" w:sz="0" w:space="0" w:color="auto"/>
        <w:bottom w:val="none" w:sz="0" w:space="0" w:color="auto"/>
        <w:right w:val="none" w:sz="0" w:space="0" w:color="auto"/>
      </w:divBdr>
    </w:div>
    <w:div w:id="1566911083">
      <w:bodyDiv w:val="1"/>
      <w:marLeft w:val="0"/>
      <w:marRight w:val="0"/>
      <w:marTop w:val="0"/>
      <w:marBottom w:val="0"/>
      <w:divBdr>
        <w:top w:val="none" w:sz="0" w:space="0" w:color="auto"/>
        <w:left w:val="none" w:sz="0" w:space="0" w:color="auto"/>
        <w:bottom w:val="none" w:sz="0" w:space="0" w:color="auto"/>
        <w:right w:val="none" w:sz="0" w:space="0" w:color="auto"/>
      </w:divBdr>
    </w:div>
    <w:div w:id="1579637462">
      <w:bodyDiv w:val="1"/>
      <w:marLeft w:val="0"/>
      <w:marRight w:val="0"/>
      <w:marTop w:val="0"/>
      <w:marBottom w:val="0"/>
      <w:divBdr>
        <w:top w:val="none" w:sz="0" w:space="0" w:color="auto"/>
        <w:left w:val="none" w:sz="0" w:space="0" w:color="auto"/>
        <w:bottom w:val="none" w:sz="0" w:space="0" w:color="auto"/>
        <w:right w:val="none" w:sz="0" w:space="0" w:color="auto"/>
      </w:divBdr>
    </w:div>
    <w:div w:id="1583762224">
      <w:bodyDiv w:val="1"/>
      <w:marLeft w:val="0"/>
      <w:marRight w:val="0"/>
      <w:marTop w:val="0"/>
      <w:marBottom w:val="0"/>
      <w:divBdr>
        <w:top w:val="none" w:sz="0" w:space="0" w:color="auto"/>
        <w:left w:val="none" w:sz="0" w:space="0" w:color="auto"/>
        <w:bottom w:val="none" w:sz="0" w:space="0" w:color="auto"/>
        <w:right w:val="none" w:sz="0" w:space="0" w:color="auto"/>
      </w:divBdr>
    </w:div>
    <w:div w:id="1600217203">
      <w:bodyDiv w:val="1"/>
      <w:marLeft w:val="0"/>
      <w:marRight w:val="0"/>
      <w:marTop w:val="0"/>
      <w:marBottom w:val="0"/>
      <w:divBdr>
        <w:top w:val="none" w:sz="0" w:space="0" w:color="auto"/>
        <w:left w:val="none" w:sz="0" w:space="0" w:color="auto"/>
        <w:bottom w:val="none" w:sz="0" w:space="0" w:color="auto"/>
        <w:right w:val="none" w:sz="0" w:space="0" w:color="auto"/>
      </w:divBdr>
    </w:div>
    <w:div w:id="1609922314">
      <w:bodyDiv w:val="1"/>
      <w:marLeft w:val="0"/>
      <w:marRight w:val="0"/>
      <w:marTop w:val="0"/>
      <w:marBottom w:val="0"/>
      <w:divBdr>
        <w:top w:val="none" w:sz="0" w:space="0" w:color="auto"/>
        <w:left w:val="none" w:sz="0" w:space="0" w:color="auto"/>
        <w:bottom w:val="none" w:sz="0" w:space="0" w:color="auto"/>
        <w:right w:val="none" w:sz="0" w:space="0" w:color="auto"/>
      </w:divBdr>
    </w:div>
    <w:div w:id="1627390674">
      <w:bodyDiv w:val="1"/>
      <w:marLeft w:val="0"/>
      <w:marRight w:val="0"/>
      <w:marTop w:val="0"/>
      <w:marBottom w:val="0"/>
      <w:divBdr>
        <w:top w:val="none" w:sz="0" w:space="0" w:color="auto"/>
        <w:left w:val="none" w:sz="0" w:space="0" w:color="auto"/>
        <w:bottom w:val="none" w:sz="0" w:space="0" w:color="auto"/>
        <w:right w:val="none" w:sz="0" w:space="0" w:color="auto"/>
      </w:divBdr>
    </w:div>
    <w:div w:id="1676033608">
      <w:bodyDiv w:val="1"/>
      <w:marLeft w:val="0"/>
      <w:marRight w:val="0"/>
      <w:marTop w:val="0"/>
      <w:marBottom w:val="0"/>
      <w:divBdr>
        <w:top w:val="none" w:sz="0" w:space="0" w:color="auto"/>
        <w:left w:val="none" w:sz="0" w:space="0" w:color="auto"/>
        <w:bottom w:val="none" w:sz="0" w:space="0" w:color="auto"/>
        <w:right w:val="none" w:sz="0" w:space="0" w:color="auto"/>
      </w:divBdr>
    </w:div>
    <w:div w:id="1680310227">
      <w:bodyDiv w:val="1"/>
      <w:marLeft w:val="0"/>
      <w:marRight w:val="0"/>
      <w:marTop w:val="0"/>
      <w:marBottom w:val="0"/>
      <w:divBdr>
        <w:top w:val="none" w:sz="0" w:space="0" w:color="auto"/>
        <w:left w:val="none" w:sz="0" w:space="0" w:color="auto"/>
        <w:bottom w:val="none" w:sz="0" w:space="0" w:color="auto"/>
        <w:right w:val="none" w:sz="0" w:space="0" w:color="auto"/>
      </w:divBdr>
    </w:div>
    <w:div w:id="1687750697">
      <w:bodyDiv w:val="1"/>
      <w:marLeft w:val="0"/>
      <w:marRight w:val="0"/>
      <w:marTop w:val="0"/>
      <w:marBottom w:val="0"/>
      <w:divBdr>
        <w:top w:val="none" w:sz="0" w:space="0" w:color="auto"/>
        <w:left w:val="none" w:sz="0" w:space="0" w:color="auto"/>
        <w:bottom w:val="none" w:sz="0" w:space="0" w:color="auto"/>
        <w:right w:val="none" w:sz="0" w:space="0" w:color="auto"/>
      </w:divBdr>
    </w:div>
    <w:div w:id="1703556687">
      <w:bodyDiv w:val="1"/>
      <w:marLeft w:val="0"/>
      <w:marRight w:val="0"/>
      <w:marTop w:val="0"/>
      <w:marBottom w:val="0"/>
      <w:divBdr>
        <w:top w:val="none" w:sz="0" w:space="0" w:color="auto"/>
        <w:left w:val="none" w:sz="0" w:space="0" w:color="auto"/>
        <w:bottom w:val="none" w:sz="0" w:space="0" w:color="auto"/>
        <w:right w:val="none" w:sz="0" w:space="0" w:color="auto"/>
      </w:divBdr>
    </w:div>
    <w:div w:id="1710908664">
      <w:bodyDiv w:val="1"/>
      <w:marLeft w:val="0"/>
      <w:marRight w:val="0"/>
      <w:marTop w:val="0"/>
      <w:marBottom w:val="0"/>
      <w:divBdr>
        <w:top w:val="none" w:sz="0" w:space="0" w:color="auto"/>
        <w:left w:val="none" w:sz="0" w:space="0" w:color="auto"/>
        <w:bottom w:val="none" w:sz="0" w:space="0" w:color="auto"/>
        <w:right w:val="none" w:sz="0" w:space="0" w:color="auto"/>
      </w:divBdr>
    </w:div>
    <w:div w:id="1715500745">
      <w:bodyDiv w:val="1"/>
      <w:marLeft w:val="0"/>
      <w:marRight w:val="0"/>
      <w:marTop w:val="0"/>
      <w:marBottom w:val="0"/>
      <w:divBdr>
        <w:top w:val="none" w:sz="0" w:space="0" w:color="auto"/>
        <w:left w:val="none" w:sz="0" w:space="0" w:color="auto"/>
        <w:bottom w:val="none" w:sz="0" w:space="0" w:color="auto"/>
        <w:right w:val="none" w:sz="0" w:space="0" w:color="auto"/>
      </w:divBdr>
    </w:div>
    <w:div w:id="1723628119">
      <w:bodyDiv w:val="1"/>
      <w:marLeft w:val="0"/>
      <w:marRight w:val="0"/>
      <w:marTop w:val="0"/>
      <w:marBottom w:val="0"/>
      <w:divBdr>
        <w:top w:val="none" w:sz="0" w:space="0" w:color="auto"/>
        <w:left w:val="none" w:sz="0" w:space="0" w:color="auto"/>
        <w:bottom w:val="none" w:sz="0" w:space="0" w:color="auto"/>
        <w:right w:val="none" w:sz="0" w:space="0" w:color="auto"/>
      </w:divBdr>
    </w:div>
    <w:div w:id="1744059883">
      <w:bodyDiv w:val="1"/>
      <w:marLeft w:val="0"/>
      <w:marRight w:val="0"/>
      <w:marTop w:val="0"/>
      <w:marBottom w:val="0"/>
      <w:divBdr>
        <w:top w:val="none" w:sz="0" w:space="0" w:color="auto"/>
        <w:left w:val="none" w:sz="0" w:space="0" w:color="auto"/>
        <w:bottom w:val="none" w:sz="0" w:space="0" w:color="auto"/>
        <w:right w:val="none" w:sz="0" w:space="0" w:color="auto"/>
      </w:divBdr>
    </w:div>
    <w:div w:id="1753963143">
      <w:bodyDiv w:val="1"/>
      <w:marLeft w:val="0"/>
      <w:marRight w:val="0"/>
      <w:marTop w:val="0"/>
      <w:marBottom w:val="0"/>
      <w:divBdr>
        <w:top w:val="none" w:sz="0" w:space="0" w:color="auto"/>
        <w:left w:val="none" w:sz="0" w:space="0" w:color="auto"/>
        <w:bottom w:val="none" w:sz="0" w:space="0" w:color="auto"/>
        <w:right w:val="none" w:sz="0" w:space="0" w:color="auto"/>
      </w:divBdr>
      <w:divsChild>
        <w:div w:id="87387928">
          <w:marLeft w:val="1166"/>
          <w:marRight w:val="0"/>
          <w:marTop w:val="77"/>
          <w:marBottom w:val="0"/>
          <w:divBdr>
            <w:top w:val="none" w:sz="0" w:space="0" w:color="auto"/>
            <w:left w:val="none" w:sz="0" w:space="0" w:color="auto"/>
            <w:bottom w:val="none" w:sz="0" w:space="0" w:color="auto"/>
            <w:right w:val="none" w:sz="0" w:space="0" w:color="auto"/>
          </w:divBdr>
        </w:div>
        <w:div w:id="170026213">
          <w:marLeft w:val="1166"/>
          <w:marRight w:val="0"/>
          <w:marTop w:val="77"/>
          <w:marBottom w:val="0"/>
          <w:divBdr>
            <w:top w:val="none" w:sz="0" w:space="0" w:color="auto"/>
            <w:left w:val="none" w:sz="0" w:space="0" w:color="auto"/>
            <w:bottom w:val="none" w:sz="0" w:space="0" w:color="auto"/>
            <w:right w:val="none" w:sz="0" w:space="0" w:color="auto"/>
          </w:divBdr>
        </w:div>
        <w:div w:id="215437614">
          <w:marLeft w:val="1166"/>
          <w:marRight w:val="0"/>
          <w:marTop w:val="77"/>
          <w:marBottom w:val="0"/>
          <w:divBdr>
            <w:top w:val="none" w:sz="0" w:space="0" w:color="auto"/>
            <w:left w:val="none" w:sz="0" w:space="0" w:color="auto"/>
            <w:bottom w:val="none" w:sz="0" w:space="0" w:color="auto"/>
            <w:right w:val="none" w:sz="0" w:space="0" w:color="auto"/>
          </w:divBdr>
        </w:div>
        <w:div w:id="378433320">
          <w:marLeft w:val="1166"/>
          <w:marRight w:val="0"/>
          <w:marTop w:val="77"/>
          <w:marBottom w:val="0"/>
          <w:divBdr>
            <w:top w:val="none" w:sz="0" w:space="0" w:color="auto"/>
            <w:left w:val="none" w:sz="0" w:space="0" w:color="auto"/>
            <w:bottom w:val="none" w:sz="0" w:space="0" w:color="auto"/>
            <w:right w:val="none" w:sz="0" w:space="0" w:color="auto"/>
          </w:divBdr>
        </w:div>
        <w:div w:id="612593133">
          <w:marLeft w:val="1166"/>
          <w:marRight w:val="0"/>
          <w:marTop w:val="77"/>
          <w:marBottom w:val="0"/>
          <w:divBdr>
            <w:top w:val="none" w:sz="0" w:space="0" w:color="auto"/>
            <w:left w:val="none" w:sz="0" w:space="0" w:color="auto"/>
            <w:bottom w:val="none" w:sz="0" w:space="0" w:color="auto"/>
            <w:right w:val="none" w:sz="0" w:space="0" w:color="auto"/>
          </w:divBdr>
        </w:div>
        <w:div w:id="635718097">
          <w:marLeft w:val="1166"/>
          <w:marRight w:val="0"/>
          <w:marTop w:val="77"/>
          <w:marBottom w:val="0"/>
          <w:divBdr>
            <w:top w:val="none" w:sz="0" w:space="0" w:color="auto"/>
            <w:left w:val="none" w:sz="0" w:space="0" w:color="auto"/>
            <w:bottom w:val="none" w:sz="0" w:space="0" w:color="auto"/>
            <w:right w:val="none" w:sz="0" w:space="0" w:color="auto"/>
          </w:divBdr>
        </w:div>
        <w:div w:id="850873078">
          <w:marLeft w:val="1166"/>
          <w:marRight w:val="0"/>
          <w:marTop w:val="77"/>
          <w:marBottom w:val="0"/>
          <w:divBdr>
            <w:top w:val="none" w:sz="0" w:space="0" w:color="auto"/>
            <w:left w:val="none" w:sz="0" w:space="0" w:color="auto"/>
            <w:bottom w:val="none" w:sz="0" w:space="0" w:color="auto"/>
            <w:right w:val="none" w:sz="0" w:space="0" w:color="auto"/>
          </w:divBdr>
        </w:div>
        <w:div w:id="1060247892">
          <w:marLeft w:val="1166"/>
          <w:marRight w:val="0"/>
          <w:marTop w:val="77"/>
          <w:marBottom w:val="0"/>
          <w:divBdr>
            <w:top w:val="none" w:sz="0" w:space="0" w:color="auto"/>
            <w:left w:val="none" w:sz="0" w:space="0" w:color="auto"/>
            <w:bottom w:val="none" w:sz="0" w:space="0" w:color="auto"/>
            <w:right w:val="none" w:sz="0" w:space="0" w:color="auto"/>
          </w:divBdr>
        </w:div>
        <w:div w:id="1131942130">
          <w:marLeft w:val="1166"/>
          <w:marRight w:val="0"/>
          <w:marTop w:val="77"/>
          <w:marBottom w:val="0"/>
          <w:divBdr>
            <w:top w:val="none" w:sz="0" w:space="0" w:color="auto"/>
            <w:left w:val="none" w:sz="0" w:space="0" w:color="auto"/>
            <w:bottom w:val="none" w:sz="0" w:space="0" w:color="auto"/>
            <w:right w:val="none" w:sz="0" w:space="0" w:color="auto"/>
          </w:divBdr>
        </w:div>
        <w:div w:id="1260792659">
          <w:marLeft w:val="1166"/>
          <w:marRight w:val="0"/>
          <w:marTop w:val="77"/>
          <w:marBottom w:val="0"/>
          <w:divBdr>
            <w:top w:val="none" w:sz="0" w:space="0" w:color="auto"/>
            <w:left w:val="none" w:sz="0" w:space="0" w:color="auto"/>
            <w:bottom w:val="none" w:sz="0" w:space="0" w:color="auto"/>
            <w:right w:val="none" w:sz="0" w:space="0" w:color="auto"/>
          </w:divBdr>
        </w:div>
        <w:div w:id="1623733803">
          <w:marLeft w:val="1166"/>
          <w:marRight w:val="0"/>
          <w:marTop w:val="77"/>
          <w:marBottom w:val="0"/>
          <w:divBdr>
            <w:top w:val="none" w:sz="0" w:space="0" w:color="auto"/>
            <w:left w:val="none" w:sz="0" w:space="0" w:color="auto"/>
            <w:bottom w:val="none" w:sz="0" w:space="0" w:color="auto"/>
            <w:right w:val="none" w:sz="0" w:space="0" w:color="auto"/>
          </w:divBdr>
        </w:div>
      </w:divsChild>
    </w:div>
    <w:div w:id="1768429489">
      <w:bodyDiv w:val="1"/>
      <w:marLeft w:val="0"/>
      <w:marRight w:val="0"/>
      <w:marTop w:val="0"/>
      <w:marBottom w:val="0"/>
      <w:divBdr>
        <w:top w:val="none" w:sz="0" w:space="0" w:color="auto"/>
        <w:left w:val="none" w:sz="0" w:space="0" w:color="auto"/>
        <w:bottom w:val="none" w:sz="0" w:space="0" w:color="auto"/>
        <w:right w:val="none" w:sz="0" w:space="0" w:color="auto"/>
      </w:divBdr>
    </w:div>
    <w:div w:id="1768961883">
      <w:bodyDiv w:val="1"/>
      <w:marLeft w:val="0"/>
      <w:marRight w:val="0"/>
      <w:marTop w:val="0"/>
      <w:marBottom w:val="0"/>
      <w:divBdr>
        <w:top w:val="none" w:sz="0" w:space="0" w:color="auto"/>
        <w:left w:val="none" w:sz="0" w:space="0" w:color="auto"/>
        <w:bottom w:val="none" w:sz="0" w:space="0" w:color="auto"/>
        <w:right w:val="none" w:sz="0" w:space="0" w:color="auto"/>
      </w:divBdr>
    </w:div>
    <w:div w:id="1779105897">
      <w:bodyDiv w:val="1"/>
      <w:marLeft w:val="0"/>
      <w:marRight w:val="0"/>
      <w:marTop w:val="0"/>
      <w:marBottom w:val="0"/>
      <w:divBdr>
        <w:top w:val="none" w:sz="0" w:space="0" w:color="auto"/>
        <w:left w:val="none" w:sz="0" w:space="0" w:color="auto"/>
        <w:bottom w:val="none" w:sz="0" w:space="0" w:color="auto"/>
        <w:right w:val="none" w:sz="0" w:space="0" w:color="auto"/>
      </w:divBdr>
    </w:div>
    <w:div w:id="1810050161">
      <w:bodyDiv w:val="1"/>
      <w:marLeft w:val="0"/>
      <w:marRight w:val="0"/>
      <w:marTop w:val="0"/>
      <w:marBottom w:val="0"/>
      <w:divBdr>
        <w:top w:val="none" w:sz="0" w:space="0" w:color="auto"/>
        <w:left w:val="none" w:sz="0" w:space="0" w:color="auto"/>
        <w:bottom w:val="none" w:sz="0" w:space="0" w:color="auto"/>
        <w:right w:val="none" w:sz="0" w:space="0" w:color="auto"/>
      </w:divBdr>
    </w:div>
    <w:div w:id="1833373605">
      <w:bodyDiv w:val="1"/>
      <w:marLeft w:val="0"/>
      <w:marRight w:val="0"/>
      <w:marTop w:val="0"/>
      <w:marBottom w:val="0"/>
      <w:divBdr>
        <w:top w:val="none" w:sz="0" w:space="0" w:color="auto"/>
        <w:left w:val="none" w:sz="0" w:space="0" w:color="auto"/>
        <w:bottom w:val="none" w:sz="0" w:space="0" w:color="auto"/>
        <w:right w:val="none" w:sz="0" w:space="0" w:color="auto"/>
      </w:divBdr>
    </w:div>
    <w:div w:id="1840539716">
      <w:bodyDiv w:val="1"/>
      <w:marLeft w:val="0"/>
      <w:marRight w:val="0"/>
      <w:marTop w:val="0"/>
      <w:marBottom w:val="0"/>
      <w:divBdr>
        <w:top w:val="none" w:sz="0" w:space="0" w:color="auto"/>
        <w:left w:val="none" w:sz="0" w:space="0" w:color="auto"/>
        <w:bottom w:val="none" w:sz="0" w:space="0" w:color="auto"/>
        <w:right w:val="none" w:sz="0" w:space="0" w:color="auto"/>
      </w:divBdr>
    </w:div>
    <w:div w:id="1888446026">
      <w:bodyDiv w:val="1"/>
      <w:marLeft w:val="0"/>
      <w:marRight w:val="0"/>
      <w:marTop w:val="0"/>
      <w:marBottom w:val="0"/>
      <w:divBdr>
        <w:top w:val="none" w:sz="0" w:space="0" w:color="auto"/>
        <w:left w:val="none" w:sz="0" w:space="0" w:color="auto"/>
        <w:bottom w:val="none" w:sz="0" w:space="0" w:color="auto"/>
        <w:right w:val="none" w:sz="0" w:space="0" w:color="auto"/>
      </w:divBdr>
    </w:div>
    <w:div w:id="1903176888">
      <w:bodyDiv w:val="1"/>
      <w:marLeft w:val="0"/>
      <w:marRight w:val="0"/>
      <w:marTop w:val="0"/>
      <w:marBottom w:val="0"/>
      <w:divBdr>
        <w:top w:val="none" w:sz="0" w:space="0" w:color="auto"/>
        <w:left w:val="none" w:sz="0" w:space="0" w:color="auto"/>
        <w:bottom w:val="none" w:sz="0" w:space="0" w:color="auto"/>
        <w:right w:val="none" w:sz="0" w:space="0" w:color="auto"/>
      </w:divBdr>
    </w:div>
    <w:div w:id="1904681849">
      <w:bodyDiv w:val="1"/>
      <w:marLeft w:val="0"/>
      <w:marRight w:val="0"/>
      <w:marTop w:val="0"/>
      <w:marBottom w:val="0"/>
      <w:divBdr>
        <w:top w:val="none" w:sz="0" w:space="0" w:color="auto"/>
        <w:left w:val="none" w:sz="0" w:space="0" w:color="auto"/>
        <w:bottom w:val="none" w:sz="0" w:space="0" w:color="auto"/>
        <w:right w:val="none" w:sz="0" w:space="0" w:color="auto"/>
      </w:divBdr>
    </w:div>
    <w:div w:id="1913080021">
      <w:bodyDiv w:val="1"/>
      <w:marLeft w:val="0"/>
      <w:marRight w:val="0"/>
      <w:marTop w:val="0"/>
      <w:marBottom w:val="0"/>
      <w:divBdr>
        <w:top w:val="none" w:sz="0" w:space="0" w:color="auto"/>
        <w:left w:val="none" w:sz="0" w:space="0" w:color="auto"/>
        <w:bottom w:val="none" w:sz="0" w:space="0" w:color="auto"/>
        <w:right w:val="none" w:sz="0" w:space="0" w:color="auto"/>
      </w:divBdr>
      <w:divsChild>
        <w:div w:id="420227037">
          <w:marLeft w:val="1166"/>
          <w:marRight w:val="0"/>
          <w:marTop w:val="77"/>
          <w:marBottom w:val="0"/>
          <w:divBdr>
            <w:top w:val="none" w:sz="0" w:space="0" w:color="auto"/>
            <w:left w:val="none" w:sz="0" w:space="0" w:color="auto"/>
            <w:bottom w:val="none" w:sz="0" w:space="0" w:color="auto"/>
            <w:right w:val="none" w:sz="0" w:space="0" w:color="auto"/>
          </w:divBdr>
        </w:div>
        <w:div w:id="570194654">
          <w:marLeft w:val="1166"/>
          <w:marRight w:val="0"/>
          <w:marTop w:val="77"/>
          <w:marBottom w:val="0"/>
          <w:divBdr>
            <w:top w:val="none" w:sz="0" w:space="0" w:color="auto"/>
            <w:left w:val="none" w:sz="0" w:space="0" w:color="auto"/>
            <w:bottom w:val="none" w:sz="0" w:space="0" w:color="auto"/>
            <w:right w:val="none" w:sz="0" w:space="0" w:color="auto"/>
          </w:divBdr>
        </w:div>
        <w:div w:id="678779579">
          <w:marLeft w:val="547"/>
          <w:marRight w:val="0"/>
          <w:marTop w:val="96"/>
          <w:marBottom w:val="0"/>
          <w:divBdr>
            <w:top w:val="none" w:sz="0" w:space="0" w:color="auto"/>
            <w:left w:val="none" w:sz="0" w:space="0" w:color="auto"/>
            <w:bottom w:val="none" w:sz="0" w:space="0" w:color="auto"/>
            <w:right w:val="none" w:sz="0" w:space="0" w:color="auto"/>
          </w:divBdr>
        </w:div>
        <w:div w:id="1053965572">
          <w:marLeft w:val="1166"/>
          <w:marRight w:val="0"/>
          <w:marTop w:val="77"/>
          <w:marBottom w:val="0"/>
          <w:divBdr>
            <w:top w:val="none" w:sz="0" w:space="0" w:color="auto"/>
            <w:left w:val="none" w:sz="0" w:space="0" w:color="auto"/>
            <w:bottom w:val="none" w:sz="0" w:space="0" w:color="auto"/>
            <w:right w:val="none" w:sz="0" w:space="0" w:color="auto"/>
          </w:divBdr>
        </w:div>
        <w:div w:id="1145781927">
          <w:marLeft w:val="547"/>
          <w:marRight w:val="0"/>
          <w:marTop w:val="96"/>
          <w:marBottom w:val="0"/>
          <w:divBdr>
            <w:top w:val="none" w:sz="0" w:space="0" w:color="auto"/>
            <w:left w:val="none" w:sz="0" w:space="0" w:color="auto"/>
            <w:bottom w:val="none" w:sz="0" w:space="0" w:color="auto"/>
            <w:right w:val="none" w:sz="0" w:space="0" w:color="auto"/>
          </w:divBdr>
        </w:div>
        <w:div w:id="1256668881">
          <w:marLeft w:val="1166"/>
          <w:marRight w:val="0"/>
          <w:marTop w:val="77"/>
          <w:marBottom w:val="0"/>
          <w:divBdr>
            <w:top w:val="none" w:sz="0" w:space="0" w:color="auto"/>
            <w:left w:val="none" w:sz="0" w:space="0" w:color="auto"/>
            <w:bottom w:val="none" w:sz="0" w:space="0" w:color="auto"/>
            <w:right w:val="none" w:sz="0" w:space="0" w:color="auto"/>
          </w:divBdr>
        </w:div>
        <w:div w:id="1349259091">
          <w:marLeft w:val="1166"/>
          <w:marRight w:val="0"/>
          <w:marTop w:val="77"/>
          <w:marBottom w:val="0"/>
          <w:divBdr>
            <w:top w:val="none" w:sz="0" w:space="0" w:color="auto"/>
            <w:left w:val="none" w:sz="0" w:space="0" w:color="auto"/>
            <w:bottom w:val="none" w:sz="0" w:space="0" w:color="auto"/>
            <w:right w:val="none" w:sz="0" w:space="0" w:color="auto"/>
          </w:divBdr>
        </w:div>
        <w:div w:id="1396053146">
          <w:marLeft w:val="1166"/>
          <w:marRight w:val="0"/>
          <w:marTop w:val="77"/>
          <w:marBottom w:val="0"/>
          <w:divBdr>
            <w:top w:val="none" w:sz="0" w:space="0" w:color="auto"/>
            <w:left w:val="none" w:sz="0" w:space="0" w:color="auto"/>
            <w:bottom w:val="none" w:sz="0" w:space="0" w:color="auto"/>
            <w:right w:val="none" w:sz="0" w:space="0" w:color="auto"/>
          </w:divBdr>
        </w:div>
        <w:div w:id="1809739171">
          <w:marLeft w:val="1166"/>
          <w:marRight w:val="0"/>
          <w:marTop w:val="77"/>
          <w:marBottom w:val="0"/>
          <w:divBdr>
            <w:top w:val="none" w:sz="0" w:space="0" w:color="auto"/>
            <w:left w:val="none" w:sz="0" w:space="0" w:color="auto"/>
            <w:bottom w:val="none" w:sz="0" w:space="0" w:color="auto"/>
            <w:right w:val="none" w:sz="0" w:space="0" w:color="auto"/>
          </w:divBdr>
        </w:div>
        <w:div w:id="1862813335">
          <w:marLeft w:val="1166"/>
          <w:marRight w:val="0"/>
          <w:marTop w:val="77"/>
          <w:marBottom w:val="0"/>
          <w:divBdr>
            <w:top w:val="none" w:sz="0" w:space="0" w:color="auto"/>
            <w:left w:val="none" w:sz="0" w:space="0" w:color="auto"/>
            <w:bottom w:val="none" w:sz="0" w:space="0" w:color="auto"/>
            <w:right w:val="none" w:sz="0" w:space="0" w:color="auto"/>
          </w:divBdr>
        </w:div>
      </w:divsChild>
    </w:div>
    <w:div w:id="1940091843">
      <w:bodyDiv w:val="1"/>
      <w:marLeft w:val="0"/>
      <w:marRight w:val="0"/>
      <w:marTop w:val="0"/>
      <w:marBottom w:val="0"/>
      <w:divBdr>
        <w:top w:val="none" w:sz="0" w:space="0" w:color="auto"/>
        <w:left w:val="none" w:sz="0" w:space="0" w:color="auto"/>
        <w:bottom w:val="none" w:sz="0" w:space="0" w:color="auto"/>
        <w:right w:val="none" w:sz="0" w:space="0" w:color="auto"/>
      </w:divBdr>
    </w:div>
    <w:div w:id="1942030669">
      <w:bodyDiv w:val="1"/>
      <w:marLeft w:val="0"/>
      <w:marRight w:val="0"/>
      <w:marTop w:val="0"/>
      <w:marBottom w:val="0"/>
      <w:divBdr>
        <w:top w:val="none" w:sz="0" w:space="0" w:color="auto"/>
        <w:left w:val="none" w:sz="0" w:space="0" w:color="auto"/>
        <w:bottom w:val="none" w:sz="0" w:space="0" w:color="auto"/>
        <w:right w:val="none" w:sz="0" w:space="0" w:color="auto"/>
      </w:divBdr>
    </w:div>
    <w:div w:id="1947544146">
      <w:bodyDiv w:val="1"/>
      <w:marLeft w:val="0"/>
      <w:marRight w:val="0"/>
      <w:marTop w:val="0"/>
      <w:marBottom w:val="0"/>
      <w:divBdr>
        <w:top w:val="none" w:sz="0" w:space="0" w:color="auto"/>
        <w:left w:val="none" w:sz="0" w:space="0" w:color="auto"/>
        <w:bottom w:val="none" w:sz="0" w:space="0" w:color="auto"/>
        <w:right w:val="none" w:sz="0" w:space="0" w:color="auto"/>
      </w:divBdr>
    </w:div>
    <w:div w:id="1949458941">
      <w:bodyDiv w:val="1"/>
      <w:marLeft w:val="0"/>
      <w:marRight w:val="0"/>
      <w:marTop w:val="0"/>
      <w:marBottom w:val="0"/>
      <w:divBdr>
        <w:top w:val="none" w:sz="0" w:space="0" w:color="auto"/>
        <w:left w:val="none" w:sz="0" w:space="0" w:color="auto"/>
        <w:bottom w:val="none" w:sz="0" w:space="0" w:color="auto"/>
        <w:right w:val="none" w:sz="0" w:space="0" w:color="auto"/>
      </w:divBdr>
    </w:div>
    <w:div w:id="1949893436">
      <w:bodyDiv w:val="1"/>
      <w:marLeft w:val="0"/>
      <w:marRight w:val="0"/>
      <w:marTop w:val="0"/>
      <w:marBottom w:val="0"/>
      <w:divBdr>
        <w:top w:val="none" w:sz="0" w:space="0" w:color="auto"/>
        <w:left w:val="none" w:sz="0" w:space="0" w:color="auto"/>
        <w:bottom w:val="none" w:sz="0" w:space="0" w:color="auto"/>
        <w:right w:val="none" w:sz="0" w:space="0" w:color="auto"/>
      </w:divBdr>
    </w:div>
    <w:div w:id="2012220568">
      <w:bodyDiv w:val="1"/>
      <w:marLeft w:val="0"/>
      <w:marRight w:val="0"/>
      <w:marTop w:val="0"/>
      <w:marBottom w:val="0"/>
      <w:divBdr>
        <w:top w:val="none" w:sz="0" w:space="0" w:color="auto"/>
        <w:left w:val="none" w:sz="0" w:space="0" w:color="auto"/>
        <w:bottom w:val="none" w:sz="0" w:space="0" w:color="auto"/>
        <w:right w:val="none" w:sz="0" w:space="0" w:color="auto"/>
      </w:divBdr>
    </w:div>
    <w:div w:id="2013097164">
      <w:bodyDiv w:val="1"/>
      <w:marLeft w:val="0"/>
      <w:marRight w:val="0"/>
      <w:marTop w:val="0"/>
      <w:marBottom w:val="0"/>
      <w:divBdr>
        <w:top w:val="none" w:sz="0" w:space="0" w:color="auto"/>
        <w:left w:val="none" w:sz="0" w:space="0" w:color="auto"/>
        <w:bottom w:val="none" w:sz="0" w:space="0" w:color="auto"/>
        <w:right w:val="none" w:sz="0" w:space="0" w:color="auto"/>
      </w:divBdr>
    </w:div>
    <w:div w:id="2014066772">
      <w:bodyDiv w:val="1"/>
      <w:marLeft w:val="0"/>
      <w:marRight w:val="0"/>
      <w:marTop w:val="0"/>
      <w:marBottom w:val="0"/>
      <w:divBdr>
        <w:top w:val="none" w:sz="0" w:space="0" w:color="auto"/>
        <w:left w:val="none" w:sz="0" w:space="0" w:color="auto"/>
        <w:bottom w:val="none" w:sz="0" w:space="0" w:color="auto"/>
        <w:right w:val="none" w:sz="0" w:space="0" w:color="auto"/>
      </w:divBdr>
    </w:div>
    <w:div w:id="2014449251">
      <w:bodyDiv w:val="1"/>
      <w:marLeft w:val="0"/>
      <w:marRight w:val="0"/>
      <w:marTop w:val="0"/>
      <w:marBottom w:val="0"/>
      <w:divBdr>
        <w:top w:val="none" w:sz="0" w:space="0" w:color="auto"/>
        <w:left w:val="none" w:sz="0" w:space="0" w:color="auto"/>
        <w:bottom w:val="none" w:sz="0" w:space="0" w:color="auto"/>
        <w:right w:val="none" w:sz="0" w:space="0" w:color="auto"/>
      </w:divBdr>
    </w:div>
    <w:div w:id="2024474698">
      <w:bodyDiv w:val="1"/>
      <w:marLeft w:val="0"/>
      <w:marRight w:val="0"/>
      <w:marTop w:val="0"/>
      <w:marBottom w:val="0"/>
      <w:divBdr>
        <w:top w:val="none" w:sz="0" w:space="0" w:color="auto"/>
        <w:left w:val="none" w:sz="0" w:space="0" w:color="auto"/>
        <w:bottom w:val="none" w:sz="0" w:space="0" w:color="auto"/>
        <w:right w:val="none" w:sz="0" w:space="0" w:color="auto"/>
      </w:divBdr>
    </w:div>
    <w:div w:id="2031373243">
      <w:bodyDiv w:val="1"/>
      <w:marLeft w:val="0"/>
      <w:marRight w:val="0"/>
      <w:marTop w:val="0"/>
      <w:marBottom w:val="0"/>
      <w:divBdr>
        <w:top w:val="none" w:sz="0" w:space="0" w:color="auto"/>
        <w:left w:val="none" w:sz="0" w:space="0" w:color="auto"/>
        <w:bottom w:val="none" w:sz="0" w:space="0" w:color="auto"/>
        <w:right w:val="none" w:sz="0" w:space="0" w:color="auto"/>
      </w:divBdr>
    </w:div>
    <w:div w:id="2041053838">
      <w:bodyDiv w:val="1"/>
      <w:marLeft w:val="0"/>
      <w:marRight w:val="0"/>
      <w:marTop w:val="0"/>
      <w:marBottom w:val="0"/>
      <w:divBdr>
        <w:top w:val="none" w:sz="0" w:space="0" w:color="auto"/>
        <w:left w:val="none" w:sz="0" w:space="0" w:color="auto"/>
        <w:bottom w:val="none" w:sz="0" w:space="0" w:color="auto"/>
        <w:right w:val="none" w:sz="0" w:space="0" w:color="auto"/>
      </w:divBdr>
    </w:div>
    <w:div w:id="2044935074">
      <w:bodyDiv w:val="1"/>
      <w:marLeft w:val="0"/>
      <w:marRight w:val="0"/>
      <w:marTop w:val="0"/>
      <w:marBottom w:val="0"/>
      <w:divBdr>
        <w:top w:val="none" w:sz="0" w:space="0" w:color="auto"/>
        <w:left w:val="none" w:sz="0" w:space="0" w:color="auto"/>
        <w:bottom w:val="none" w:sz="0" w:space="0" w:color="auto"/>
        <w:right w:val="none" w:sz="0" w:space="0" w:color="auto"/>
      </w:divBdr>
    </w:div>
    <w:div w:id="2048022298">
      <w:bodyDiv w:val="1"/>
      <w:marLeft w:val="0"/>
      <w:marRight w:val="0"/>
      <w:marTop w:val="0"/>
      <w:marBottom w:val="0"/>
      <w:divBdr>
        <w:top w:val="none" w:sz="0" w:space="0" w:color="auto"/>
        <w:left w:val="none" w:sz="0" w:space="0" w:color="auto"/>
        <w:bottom w:val="none" w:sz="0" w:space="0" w:color="auto"/>
        <w:right w:val="none" w:sz="0" w:space="0" w:color="auto"/>
      </w:divBdr>
      <w:divsChild>
        <w:div w:id="921373319">
          <w:marLeft w:val="1166"/>
          <w:marRight w:val="0"/>
          <w:marTop w:val="86"/>
          <w:marBottom w:val="130"/>
          <w:divBdr>
            <w:top w:val="none" w:sz="0" w:space="0" w:color="auto"/>
            <w:left w:val="none" w:sz="0" w:space="0" w:color="auto"/>
            <w:bottom w:val="none" w:sz="0" w:space="0" w:color="auto"/>
            <w:right w:val="none" w:sz="0" w:space="0" w:color="auto"/>
          </w:divBdr>
        </w:div>
        <w:div w:id="975141592">
          <w:marLeft w:val="1166"/>
          <w:marRight w:val="0"/>
          <w:marTop w:val="86"/>
          <w:marBottom w:val="130"/>
          <w:divBdr>
            <w:top w:val="none" w:sz="0" w:space="0" w:color="auto"/>
            <w:left w:val="none" w:sz="0" w:space="0" w:color="auto"/>
            <w:bottom w:val="none" w:sz="0" w:space="0" w:color="auto"/>
            <w:right w:val="none" w:sz="0" w:space="0" w:color="auto"/>
          </w:divBdr>
        </w:div>
        <w:div w:id="1451783465">
          <w:marLeft w:val="1166"/>
          <w:marRight w:val="0"/>
          <w:marTop w:val="86"/>
          <w:marBottom w:val="130"/>
          <w:divBdr>
            <w:top w:val="none" w:sz="0" w:space="0" w:color="auto"/>
            <w:left w:val="none" w:sz="0" w:space="0" w:color="auto"/>
            <w:bottom w:val="none" w:sz="0" w:space="0" w:color="auto"/>
            <w:right w:val="none" w:sz="0" w:space="0" w:color="auto"/>
          </w:divBdr>
        </w:div>
        <w:div w:id="1509176492">
          <w:marLeft w:val="1166"/>
          <w:marRight w:val="0"/>
          <w:marTop w:val="86"/>
          <w:marBottom w:val="130"/>
          <w:divBdr>
            <w:top w:val="none" w:sz="0" w:space="0" w:color="auto"/>
            <w:left w:val="none" w:sz="0" w:space="0" w:color="auto"/>
            <w:bottom w:val="none" w:sz="0" w:space="0" w:color="auto"/>
            <w:right w:val="none" w:sz="0" w:space="0" w:color="auto"/>
          </w:divBdr>
        </w:div>
        <w:div w:id="1603298202">
          <w:marLeft w:val="1166"/>
          <w:marRight w:val="0"/>
          <w:marTop w:val="86"/>
          <w:marBottom w:val="130"/>
          <w:divBdr>
            <w:top w:val="none" w:sz="0" w:space="0" w:color="auto"/>
            <w:left w:val="none" w:sz="0" w:space="0" w:color="auto"/>
            <w:bottom w:val="none" w:sz="0" w:space="0" w:color="auto"/>
            <w:right w:val="none" w:sz="0" w:space="0" w:color="auto"/>
          </w:divBdr>
        </w:div>
      </w:divsChild>
    </w:div>
    <w:div w:id="2048603482">
      <w:bodyDiv w:val="1"/>
      <w:marLeft w:val="0"/>
      <w:marRight w:val="0"/>
      <w:marTop w:val="0"/>
      <w:marBottom w:val="0"/>
      <w:divBdr>
        <w:top w:val="none" w:sz="0" w:space="0" w:color="auto"/>
        <w:left w:val="none" w:sz="0" w:space="0" w:color="auto"/>
        <w:bottom w:val="none" w:sz="0" w:space="0" w:color="auto"/>
        <w:right w:val="none" w:sz="0" w:space="0" w:color="auto"/>
      </w:divBdr>
    </w:div>
    <w:div w:id="2087024658">
      <w:bodyDiv w:val="1"/>
      <w:marLeft w:val="0"/>
      <w:marRight w:val="0"/>
      <w:marTop w:val="0"/>
      <w:marBottom w:val="0"/>
      <w:divBdr>
        <w:top w:val="none" w:sz="0" w:space="0" w:color="auto"/>
        <w:left w:val="none" w:sz="0" w:space="0" w:color="auto"/>
        <w:bottom w:val="none" w:sz="0" w:space="0" w:color="auto"/>
        <w:right w:val="none" w:sz="0" w:space="0" w:color="auto"/>
      </w:divBdr>
    </w:div>
    <w:div w:id="2088333839">
      <w:bodyDiv w:val="1"/>
      <w:marLeft w:val="0"/>
      <w:marRight w:val="0"/>
      <w:marTop w:val="0"/>
      <w:marBottom w:val="0"/>
      <w:divBdr>
        <w:top w:val="none" w:sz="0" w:space="0" w:color="auto"/>
        <w:left w:val="none" w:sz="0" w:space="0" w:color="auto"/>
        <w:bottom w:val="none" w:sz="0" w:space="0" w:color="auto"/>
        <w:right w:val="none" w:sz="0" w:space="0" w:color="auto"/>
      </w:divBdr>
    </w:div>
    <w:div w:id="2100634140">
      <w:bodyDiv w:val="1"/>
      <w:marLeft w:val="0"/>
      <w:marRight w:val="0"/>
      <w:marTop w:val="0"/>
      <w:marBottom w:val="0"/>
      <w:divBdr>
        <w:top w:val="none" w:sz="0" w:space="0" w:color="auto"/>
        <w:left w:val="none" w:sz="0" w:space="0" w:color="auto"/>
        <w:bottom w:val="none" w:sz="0" w:space="0" w:color="auto"/>
        <w:right w:val="none" w:sz="0" w:space="0" w:color="auto"/>
      </w:divBdr>
    </w:div>
    <w:div w:id="2106489929">
      <w:bodyDiv w:val="1"/>
      <w:marLeft w:val="0"/>
      <w:marRight w:val="0"/>
      <w:marTop w:val="0"/>
      <w:marBottom w:val="0"/>
      <w:divBdr>
        <w:top w:val="none" w:sz="0" w:space="0" w:color="auto"/>
        <w:left w:val="none" w:sz="0" w:space="0" w:color="auto"/>
        <w:bottom w:val="none" w:sz="0" w:space="0" w:color="auto"/>
        <w:right w:val="none" w:sz="0" w:space="0" w:color="auto"/>
      </w:divBdr>
    </w:div>
    <w:div w:id="2107381048">
      <w:bodyDiv w:val="1"/>
      <w:marLeft w:val="0"/>
      <w:marRight w:val="0"/>
      <w:marTop w:val="0"/>
      <w:marBottom w:val="0"/>
      <w:divBdr>
        <w:top w:val="none" w:sz="0" w:space="0" w:color="auto"/>
        <w:left w:val="none" w:sz="0" w:space="0" w:color="auto"/>
        <w:bottom w:val="none" w:sz="0" w:space="0" w:color="auto"/>
        <w:right w:val="none" w:sz="0" w:space="0" w:color="auto"/>
      </w:divBdr>
    </w:div>
    <w:div w:id="2117171602">
      <w:bodyDiv w:val="1"/>
      <w:marLeft w:val="0"/>
      <w:marRight w:val="0"/>
      <w:marTop w:val="0"/>
      <w:marBottom w:val="0"/>
      <w:divBdr>
        <w:top w:val="none" w:sz="0" w:space="0" w:color="auto"/>
        <w:left w:val="none" w:sz="0" w:space="0" w:color="auto"/>
        <w:bottom w:val="none" w:sz="0" w:space="0" w:color="auto"/>
        <w:right w:val="none" w:sz="0" w:space="0" w:color="auto"/>
      </w:divBdr>
    </w:div>
    <w:div w:id="2122341296">
      <w:bodyDiv w:val="1"/>
      <w:marLeft w:val="0"/>
      <w:marRight w:val="0"/>
      <w:marTop w:val="0"/>
      <w:marBottom w:val="0"/>
      <w:divBdr>
        <w:top w:val="none" w:sz="0" w:space="0" w:color="auto"/>
        <w:left w:val="none" w:sz="0" w:space="0" w:color="auto"/>
        <w:bottom w:val="none" w:sz="0" w:space="0" w:color="auto"/>
        <w:right w:val="none" w:sz="0" w:space="0" w:color="auto"/>
      </w:divBdr>
    </w:div>
    <w:div w:id="213721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hyperlink" Target="https://ec.europa.eu/taxation_customs/business/union-customs-code_en" TargetMode="External"/><Relationship Id="rId17" Type="http://schemas.openxmlformats.org/officeDocument/2006/relationships/image" Target="media/image4.emf"/><Relationship Id="rId25" Type="http://schemas.openxmlformats.org/officeDocument/2006/relationships/hyperlink" Target="https://ec.europa.eu/taxation_customs/business/customs-procedures/customs-decisions_e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ec.europa.eu/taxation_customs/business/customs-procedures/customs-decisions_e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itsmtaxud.europa.eu/businesspublisher/login.do?login=anonymous&amp;password=anonymous" TargetMode="External"/><Relationship Id="rId22" Type="http://schemas.openxmlformats.org/officeDocument/2006/relationships/image" Target="media/image7.emf"/><Relationship Id="rId27" Type="http://schemas.openxmlformats.org/officeDocument/2006/relationships/oleObject" Target="embeddings/oleObject4.bin"/><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uwenem\Downloads\Te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3C5A3B01F9B147ACF7DB46E69D3A87" ma:contentTypeVersion="8" ma:contentTypeDescription="Create a new document." ma:contentTypeScope="" ma:versionID="f3f1610cbf00f21d19f2670cfccc01e7">
  <xsd:schema xmlns:xsd="http://www.w3.org/2001/XMLSchema" xmlns:xs="http://www.w3.org/2001/XMLSchema" xmlns:p="http://schemas.microsoft.com/office/2006/metadata/properties" xmlns:ns2="f43ce2c9-dc0e-47df-bff4-f8652d3a1b82" targetNamespace="http://schemas.microsoft.com/office/2006/metadata/properties" ma:root="true" ma:fieldsID="fd23e4af9bc774fb8b0192ec67349323" ns2:_="">
    <xsd:import namespace="f43ce2c9-dc0e-47df-bff4-f8652d3a1b82"/>
    <xsd:element name="properties">
      <xsd:complexType>
        <xsd:sequence>
          <xsd:element name="documentManagement">
            <xsd:complexType>
              <xsd:all>
                <xsd:element ref="ns2:Deliverable_x0020_Status" minOccurs="0"/>
                <xsd:element ref="ns2:Deliverable_x0020_Version" minOccurs="0"/>
                <xsd:element ref="ns2:QT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ce2c9-dc0e-47df-bff4-f8652d3a1b82" elementFormDefault="qualified">
    <xsd:import namespace="http://schemas.microsoft.com/office/2006/documentManagement/types"/>
    <xsd:import namespace="http://schemas.microsoft.com/office/infopath/2007/PartnerControls"/>
    <xsd:element name="Deliverable_x0020_Status" ma:index="8" nillable="true" ma:displayName="Deliverable Status" ma:default="01. Working/Draft" ma:format="Dropdown" ma:indexed="true" ma:internalName="Deliverable_x0020_Status">
      <xsd:simpleType>
        <xsd:restriction base="dms:Choice">
          <xsd:enumeration value="01. Working/Draft"/>
          <xsd:enumeration value="02. Internal QAC"/>
          <xsd:enumeration value="03. SFI"/>
          <xsd:enumeration value="04. SFR"/>
          <xsd:enumeration value="05. CCO"/>
          <xsd:enumeration value="06. APO"/>
          <xsd:enumeration value="07. MDE"/>
          <xsd:enumeration value="08. SFA"/>
          <xsd:enumeration value="08.01. AIM"/>
          <xsd:enumeration value="09. IVE"/>
          <xsd:enumeration value="10. Re-SfA"/>
          <xsd:enumeration value="99. Other"/>
        </xsd:restriction>
      </xsd:simpleType>
    </xsd:element>
    <xsd:element name="Deliverable_x0020_Version" ma:index="9" nillable="true" ma:displayName="Deliverable Version" ma:description="Version of the deliverable (TAXUD version) (e.g. 1.00)" ma:indexed="true" ma:internalName="Deliverable_x0020_Version">
      <xsd:simpleType>
        <xsd:restriction base="dms:Text">
          <xsd:maxLength value="255"/>
        </xsd:restriction>
      </xsd:simpleType>
    </xsd:element>
    <xsd:element name="QTM" ma:index="10" nillable="true" ma:displayName="QTM" ma:indexed="true" ma:list="{fb1d9386-5035-4220-a1aa-a5a5cd4444bb}" ma:internalName="QTM"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liverable_x0020_Status xmlns="f43ce2c9-dc0e-47df-bff4-f8652d3a1b82">08. SFA</Deliverable_x0020_Status>
    <Deliverable_x0020_Version xmlns="f43ce2c9-dc0e-47df-bff4-f8652d3a1b82">4.00</Deliverable_x0020_Version>
    <QTM xmlns="f43ce2c9-dc0e-47df-bff4-f8652d3a1b8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4B00F-F593-482D-8469-6AC48ABF6467}"/>
</file>

<file path=customXml/itemProps2.xml><?xml version="1.0" encoding="utf-8"?>
<ds:datastoreItem xmlns:ds="http://schemas.openxmlformats.org/officeDocument/2006/customXml" ds:itemID="{8DFEB2CF-DBD2-4FAF-852C-1181CF7F3212}"/>
</file>

<file path=customXml/itemProps3.xml><?xml version="1.0" encoding="utf-8"?>
<ds:datastoreItem xmlns:ds="http://schemas.openxmlformats.org/officeDocument/2006/customXml" ds:itemID="{9743151E-BE4C-43FF-88C9-D58AEF3F0157}"/>
</file>

<file path=customXml/itemProps4.xml><?xml version="1.0" encoding="utf-8"?>
<ds:datastoreItem xmlns:ds="http://schemas.openxmlformats.org/officeDocument/2006/customXml" ds:itemID="{BDC25FCA-5811-4C51-B7DE-801454E723B5}"/>
</file>

<file path=docProps/app.xml><?xml version="1.0" encoding="utf-8"?>
<Properties xmlns="http://schemas.openxmlformats.org/officeDocument/2006/extended-properties" xmlns:vt="http://schemas.openxmlformats.org/officeDocument/2006/docPropsVTypes">
  <Template>Teplate</Template>
  <TotalTime>64</TotalTime>
  <Pages>18</Pages>
  <Words>5620</Words>
  <Characters>31347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Customs Decision Business User Information Documents</vt:lpstr>
    </vt:vector>
  </TitlesOfParts>
  <Company>ARHS</Company>
  <LinksUpToDate>false</LinksUpToDate>
  <CharactersWithSpaces>36894</CharactersWithSpaces>
  <SharedDoc>false</SharedDoc>
  <HLinks>
    <vt:vector size="798" baseType="variant">
      <vt:variant>
        <vt:i4>2031664</vt:i4>
      </vt:variant>
      <vt:variant>
        <vt:i4>818</vt:i4>
      </vt:variant>
      <vt:variant>
        <vt:i4>0</vt:i4>
      </vt:variant>
      <vt:variant>
        <vt:i4>5</vt:i4>
      </vt:variant>
      <vt:variant>
        <vt:lpwstr/>
      </vt:variant>
      <vt:variant>
        <vt:lpwstr>_Toc469990478</vt:lpwstr>
      </vt:variant>
      <vt:variant>
        <vt:i4>2031664</vt:i4>
      </vt:variant>
      <vt:variant>
        <vt:i4>812</vt:i4>
      </vt:variant>
      <vt:variant>
        <vt:i4>0</vt:i4>
      </vt:variant>
      <vt:variant>
        <vt:i4>5</vt:i4>
      </vt:variant>
      <vt:variant>
        <vt:lpwstr/>
      </vt:variant>
      <vt:variant>
        <vt:lpwstr>_Toc469990477</vt:lpwstr>
      </vt:variant>
      <vt:variant>
        <vt:i4>2031664</vt:i4>
      </vt:variant>
      <vt:variant>
        <vt:i4>806</vt:i4>
      </vt:variant>
      <vt:variant>
        <vt:i4>0</vt:i4>
      </vt:variant>
      <vt:variant>
        <vt:i4>5</vt:i4>
      </vt:variant>
      <vt:variant>
        <vt:lpwstr/>
      </vt:variant>
      <vt:variant>
        <vt:lpwstr>_Toc469990476</vt:lpwstr>
      </vt:variant>
      <vt:variant>
        <vt:i4>2031664</vt:i4>
      </vt:variant>
      <vt:variant>
        <vt:i4>800</vt:i4>
      </vt:variant>
      <vt:variant>
        <vt:i4>0</vt:i4>
      </vt:variant>
      <vt:variant>
        <vt:i4>5</vt:i4>
      </vt:variant>
      <vt:variant>
        <vt:lpwstr/>
      </vt:variant>
      <vt:variant>
        <vt:lpwstr>_Toc469990475</vt:lpwstr>
      </vt:variant>
      <vt:variant>
        <vt:i4>2031664</vt:i4>
      </vt:variant>
      <vt:variant>
        <vt:i4>794</vt:i4>
      </vt:variant>
      <vt:variant>
        <vt:i4>0</vt:i4>
      </vt:variant>
      <vt:variant>
        <vt:i4>5</vt:i4>
      </vt:variant>
      <vt:variant>
        <vt:lpwstr/>
      </vt:variant>
      <vt:variant>
        <vt:lpwstr>_Toc469990474</vt:lpwstr>
      </vt:variant>
      <vt:variant>
        <vt:i4>2031664</vt:i4>
      </vt:variant>
      <vt:variant>
        <vt:i4>788</vt:i4>
      </vt:variant>
      <vt:variant>
        <vt:i4>0</vt:i4>
      </vt:variant>
      <vt:variant>
        <vt:i4>5</vt:i4>
      </vt:variant>
      <vt:variant>
        <vt:lpwstr/>
      </vt:variant>
      <vt:variant>
        <vt:lpwstr>_Toc469990473</vt:lpwstr>
      </vt:variant>
      <vt:variant>
        <vt:i4>2031664</vt:i4>
      </vt:variant>
      <vt:variant>
        <vt:i4>782</vt:i4>
      </vt:variant>
      <vt:variant>
        <vt:i4>0</vt:i4>
      </vt:variant>
      <vt:variant>
        <vt:i4>5</vt:i4>
      </vt:variant>
      <vt:variant>
        <vt:lpwstr/>
      </vt:variant>
      <vt:variant>
        <vt:lpwstr>_Toc469990472</vt:lpwstr>
      </vt:variant>
      <vt:variant>
        <vt:i4>2031664</vt:i4>
      </vt:variant>
      <vt:variant>
        <vt:i4>776</vt:i4>
      </vt:variant>
      <vt:variant>
        <vt:i4>0</vt:i4>
      </vt:variant>
      <vt:variant>
        <vt:i4>5</vt:i4>
      </vt:variant>
      <vt:variant>
        <vt:lpwstr/>
      </vt:variant>
      <vt:variant>
        <vt:lpwstr>_Toc469990471</vt:lpwstr>
      </vt:variant>
      <vt:variant>
        <vt:i4>2031664</vt:i4>
      </vt:variant>
      <vt:variant>
        <vt:i4>770</vt:i4>
      </vt:variant>
      <vt:variant>
        <vt:i4>0</vt:i4>
      </vt:variant>
      <vt:variant>
        <vt:i4>5</vt:i4>
      </vt:variant>
      <vt:variant>
        <vt:lpwstr/>
      </vt:variant>
      <vt:variant>
        <vt:lpwstr>_Toc469990470</vt:lpwstr>
      </vt:variant>
      <vt:variant>
        <vt:i4>1966128</vt:i4>
      </vt:variant>
      <vt:variant>
        <vt:i4>764</vt:i4>
      </vt:variant>
      <vt:variant>
        <vt:i4>0</vt:i4>
      </vt:variant>
      <vt:variant>
        <vt:i4>5</vt:i4>
      </vt:variant>
      <vt:variant>
        <vt:lpwstr/>
      </vt:variant>
      <vt:variant>
        <vt:lpwstr>_Toc469990469</vt:lpwstr>
      </vt:variant>
      <vt:variant>
        <vt:i4>1966128</vt:i4>
      </vt:variant>
      <vt:variant>
        <vt:i4>758</vt:i4>
      </vt:variant>
      <vt:variant>
        <vt:i4>0</vt:i4>
      </vt:variant>
      <vt:variant>
        <vt:i4>5</vt:i4>
      </vt:variant>
      <vt:variant>
        <vt:lpwstr/>
      </vt:variant>
      <vt:variant>
        <vt:lpwstr>_Toc469990468</vt:lpwstr>
      </vt:variant>
      <vt:variant>
        <vt:i4>1966128</vt:i4>
      </vt:variant>
      <vt:variant>
        <vt:i4>752</vt:i4>
      </vt:variant>
      <vt:variant>
        <vt:i4>0</vt:i4>
      </vt:variant>
      <vt:variant>
        <vt:i4>5</vt:i4>
      </vt:variant>
      <vt:variant>
        <vt:lpwstr/>
      </vt:variant>
      <vt:variant>
        <vt:lpwstr>_Toc469990467</vt:lpwstr>
      </vt:variant>
      <vt:variant>
        <vt:i4>1966128</vt:i4>
      </vt:variant>
      <vt:variant>
        <vt:i4>746</vt:i4>
      </vt:variant>
      <vt:variant>
        <vt:i4>0</vt:i4>
      </vt:variant>
      <vt:variant>
        <vt:i4>5</vt:i4>
      </vt:variant>
      <vt:variant>
        <vt:lpwstr/>
      </vt:variant>
      <vt:variant>
        <vt:lpwstr>_Toc469990466</vt:lpwstr>
      </vt:variant>
      <vt:variant>
        <vt:i4>1966128</vt:i4>
      </vt:variant>
      <vt:variant>
        <vt:i4>740</vt:i4>
      </vt:variant>
      <vt:variant>
        <vt:i4>0</vt:i4>
      </vt:variant>
      <vt:variant>
        <vt:i4>5</vt:i4>
      </vt:variant>
      <vt:variant>
        <vt:lpwstr/>
      </vt:variant>
      <vt:variant>
        <vt:lpwstr>_Toc469990465</vt:lpwstr>
      </vt:variant>
      <vt:variant>
        <vt:i4>1966128</vt:i4>
      </vt:variant>
      <vt:variant>
        <vt:i4>734</vt:i4>
      </vt:variant>
      <vt:variant>
        <vt:i4>0</vt:i4>
      </vt:variant>
      <vt:variant>
        <vt:i4>5</vt:i4>
      </vt:variant>
      <vt:variant>
        <vt:lpwstr/>
      </vt:variant>
      <vt:variant>
        <vt:lpwstr>_Toc469990464</vt:lpwstr>
      </vt:variant>
      <vt:variant>
        <vt:i4>1966128</vt:i4>
      </vt:variant>
      <vt:variant>
        <vt:i4>728</vt:i4>
      </vt:variant>
      <vt:variant>
        <vt:i4>0</vt:i4>
      </vt:variant>
      <vt:variant>
        <vt:i4>5</vt:i4>
      </vt:variant>
      <vt:variant>
        <vt:lpwstr/>
      </vt:variant>
      <vt:variant>
        <vt:lpwstr>_Toc469990463</vt:lpwstr>
      </vt:variant>
      <vt:variant>
        <vt:i4>1966128</vt:i4>
      </vt:variant>
      <vt:variant>
        <vt:i4>722</vt:i4>
      </vt:variant>
      <vt:variant>
        <vt:i4>0</vt:i4>
      </vt:variant>
      <vt:variant>
        <vt:i4>5</vt:i4>
      </vt:variant>
      <vt:variant>
        <vt:lpwstr/>
      </vt:variant>
      <vt:variant>
        <vt:lpwstr>_Toc469990462</vt:lpwstr>
      </vt:variant>
      <vt:variant>
        <vt:i4>1966128</vt:i4>
      </vt:variant>
      <vt:variant>
        <vt:i4>716</vt:i4>
      </vt:variant>
      <vt:variant>
        <vt:i4>0</vt:i4>
      </vt:variant>
      <vt:variant>
        <vt:i4>5</vt:i4>
      </vt:variant>
      <vt:variant>
        <vt:lpwstr/>
      </vt:variant>
      <vt:variant>
        <vt:lpwstr>_Toc469990461</vt:lpwstr>
      </vt:variant>
      <vt:variant>
        <vt:i4>1966128</vt:i4>
      </vt:variant>
      <vt:variant>
        <vt:i4>710</vt:i4>
      </vt:variant>
      <vt:variant>
        <vt:i4>0</vt:i4>
      </vt:variant>
      <vt:variant>
        <vt:i4>5</vt:i4>
      </vt:variant>
      <vt:variant>
        <vt:lpwstr/>
      </vt:variant>
      <vt:variant>
        <vt:lpwstr>_Toc469990460</vt:lpwstr>
      </vt:variant>
      <vt:variant>
        <vt:i4>1900592</vt:i4>
      </vt:variant>
      <vt:variant>
        <vt:i4>704</vt:i4>
      </vt:variant>
      <vt:variant>
        <vt:i4>0</vt:i4>
      </vt:variant>
      <vt:variant>
        <vt:i4>5</vt:i4>
      </vt:variant>
      <vt:variant>
        <vt:lpwstr/>
      </vt:variant>
      <vt:variant>
        <vt:lpwstr>_Toc469990459</vt:lpwstr>
      </vt:variant>
      <vt:variant>
        <vt:i4>1900592</vt:i4>
      </vt:variant>
      <vt:variant>
        <vt:i4>698</vt:i4>
      </vt:variant>
      <vt:variant>
        <vt:i4>0</vt:i4>
      </vt:variant>
      <vt:variant>
        <vt:i4>5</vt:i4>
      </vt:variant>
      <vt:variant>
        <vt:lpwstr/>
      </vt:variant>
      <vt:variant>
        <vt:lpwstr>_Toc469990458</vt:lpwstr>
      </vt:variant>
      <vt:variant>
        <vt:i4>1900592</vt:i4>
      </vt:variant>
      <vt:variant>
        <vt:i4>692</vt:i4>
      </vt:variant>
      <vt:variant>
        <vt:i4>0</vt:i4>
      </vt:variant>
      <vt:variant>
        <vt:i4>5</vt:i4>
      </vt:variant>
      <vt:variant>
        <vt:lpwstr/>
      </vt:variant>
      <vt:variant>
        <vt:lpwstr>_Toc469990457</vt:lpwstr>
      </vt:variant>
      <vt:variant>
        <vt:i4>1900592</vt:i4>
      </vt:variant>
      <vt:variant>
        <vt:i4>686</vt:i4>
      </vt:variant>
      <vt:variant>
        <vt:i4>0</vt:i4>
      </vt:variant>
      <vt:variant>
        <vt:i4>5</vt:i4>
      </vt:variant>
      <vt:variant>
        <vt:lpwstr/>
      </vt:variant>
      <vt:variant>
        <vt:lpwstr>_Toc469990456</vt:lpwstr>
      </vt:variant>
      <vt:variant>
        <vt:i4>1900592</vt:i4>
      </vt:variant>
      <vt:variant>
        <vt:i4>680</vt:i4>
      </vt:variant>
      <vt:variant>
        <vt:i4>0</vt:i4>
      </vt:variant>
      <vt:variant>
        <vt:i4>5</vt:i4>
      </vt:variant>
      <vt:variant>
        <vt:lpwstr/>
      </vt:variant>
      <vt:variant>
        <vt:lpwstr>_Toc469990455</vt:lpwstr>
      </vt:variant>
      <vt:variant>
        <vt:i4>1900592</vt:i4>
      </vt:variant>
      <vt:variant>
        <vt:i4>674</vt:i4>
      </vt:variant>
      <vt:variant>
        <vt:i4>0</vt:i4>
      </vt:variant>
      <vt:variant>
        <vt:i4>5</vt:i4>
      </vt:variant>
      <vt:variant>
        <vt:lpwstr/>
      </vt:variant>
      <vt:variant>
        <vt:lpwstr>_Toc469990454</vt:lpwstr>
      </vt:variant>
      <vt:variant>
        <vt:i4>1900592</vt:i4>
      </vt:variant>
      <vt:variant>
        <vt:i4>668</vt:i4>
      </vt:variant>
      <vt:variant>
        <vt:i4>0</vt:i4>
      </vt:variant>
      <vt:variant>
        <vt:i4>5</vt:i4>
      </vt:variant>
      <vt:variant>
        <vt:lpwstr/>
      </vt:variant>
      <vt:variant>
        <vt:lpwstr>_Toc469990453</vt:lpwstr>
      </vt:variant>
      <vt:variant>
        <vt:i4>1900592</vt:i4>
      </vt:variant>
      <vt:variant>
        <vt:i4>662</vt:i4>
      </vt:variant>
      <vt:variant>
        <vt:i4>0</vt:i4>
      </vt:variant>
      <vt:variant>
        <vt:i4>5</vt:i4>
      </vt:variant>
      <vt:variant>
        <vt:lpwstr/>
      </vt:variant>
      <vt:variant>
        <vt:lpwstr>_Toc469990452</vt:lpwstr>
      </vt:variant>
      <vt:variant>
        <vt:i4>1900592</vt:i4>
      </vt:variant>
      <vt:variant>
        <vt:i4>656</vt:i4>
      </vt:variant>
      <vt:variant>
        <vt:i4>0</vt:i4>
      </vt:variant>
      <vt:variant>
        <vt:i4>5</vt:i4>
      </vt:variant>
      <vt:variant>
        <vt:lpwstr/>
      </vt:variant>
      <vt:variant>
        <vt:lpwstr>_Toc469990451</vt:lpwstr>
      </vt:variant>
      <vt:variant>
        <vt:i4>1900592</vt:i4>
      </vt:variant>
      <vt:variant>
        <vt:i4>647</vt:i4>
      </vt:variant>
      <vt:variant>
        <vt:i4>0</vt:i4>
      </vt:variant>
      <vt:variant>
        <vt:i4>5</vt:i4>
      </vt:variant>
      <vt:variant>
        <vt:lpwstr/>
      </vt:variant>
      <vt:variant>
        <vt:lpwstr>_Toc469990450</vt:lpwstr>
      </vt:variant>
      <vt:variant>
        <vt:i4>1835056</vt:i4>
      </vt:variant>
      <vt:variant>
        <vt:i4>641</vt:i4>
      </vt:variant>
      <vt:variant>
        <vt:i4>0</vt:i4>
      </vt:variant>
      <vt:variant>
        <vt:i4>5</vt:i4>
      </vt:variant>
      <vt:variant>
        <vt:lpwstr/>
      </vt:variant>
      <vt:variant>
        <vt:lpwstr>_Toc469990449</vt:lpwstr>
      </vt:variant>
      <vt:variant>
        <vt:i4>1835056</vt:i4>
      </vt:variant>
      <vt:variant>
        <vt:i4>635</vt:i4>
      </vt:variant>
      <vt:variant>
        <vt:i4>0</vt:i4>
      </vt:variant>
      <vt:variant>
        <vt:i4>5</vt:i4>
      </vt:variant>
      <vt:variant>
        <vt:lpwstr/>
      </vt:variant>
      <vt:variant>
        <vt:lpwstr>_Toc469990448</vt:lpwstr>
      </vt:variant>
      <vt:variant>
        <vt:i4>1835056</vt:i4>
      </vt:variant>
      <vt:variant>
        <vt:i4>629</vt:i4>
      </vt:variant>
      <vt:variant>
        <vt:i4>0</vt:i4>
      </vt:variant>
      <vt:variant>
        <vt:i4>5</vt:i4>
      </vt:variant>
      <vt:variant>
        <vt:lpwstr/>
      </vt:variant>
      <vt:variant>
        <vt:lpwstr>_Toc469990447</vt:lpwstr>
      </vt:variant>
      <vt:variant>
        <vt:i4>1835056</vt:i4>
      </vt:variant>
      <vt:variant>
        <vt:i4>623</vt:i4>
      </vt:variant>
      <vt:variant>
        <vt:i4>0</vt:i4>
      </vt:variant>
      <vt:variant>
        <vt:i4>5</vt:i4>
      </vt:variant>
      <vt:variant>
        <vt:lpwstr/>
      </vt:variant>
      <vt:variant>
        <vt:lpwstr>_Toc469990446</vt:lpwstr>
      </vt:variant>
      <vt:variant>
        <vt:i4>1835056</vt:i4>
      </vt:variant>
      <vt:variant>
        <vt:i4>617</vt:i4>
      </vt:variant>
      <vt:variant>
        <vt:i4>0</vt:i4>
      </vt:variant>
      <vt:variant>
        <vt:i4>5</vt:i4>
      </vt:variant>
      <vt:variant>
        <vt:lpwstr/>
      </vt:variant>
      <vt:variant>
        <vt:lpwstr>_Toc469990445</vt:lpwstr>
      </vt:variant>
      <vt:variant>
        <vt:i4>1835056</vt:i4>
      </vt:variant>
      <vt:variant>
        <vt:i4>611</vt:i4>
      </vt:variant>
      <vt:variant>
        <vt:i4>0</vt:i4>
      </vt:variant>
      <vt:variant>
        <vt:i4>5</vt:i4>
      </vt:variant>
      <vt:variant>
        <vt:lpwstr/>
      </vt:variant>
      <vt:variant>
        <vt:lpwstr>_Toc469990444</vt:lpwstr>
      </vt:variant>
      <vt:variant>
        <vt:i4>1835056</vt:i4>
      </vt:variant>
      <vt:variant>
        <vt:i4>605</vt:i4>
      </vt:variant>
      <vt:variant>
        <vt:i4>0</vt:i4>
      </vt:variant>
      <vt:variant>
        <vt:i4>5</vt:i4>
      </vt:variant>
      <vt:variant>
        <vt:lpwstr/>
      </vt:variant>
      <vt:variant>
        <vt:lpwstr>_Toc469990443</vt:lpwstr>
      </vt:variant>
      <vt:variant>
        <vt:i4>1835056</vt:i4>
      </vt:variant>
      <vt:variant>
        <vt:i4>599</vt:i4>
      </vt:variant>
      <vt:variant>
        <vt:i4>0</vt:i4>
      </vt:variant>
      <vt:variant>
        <vt:i4>5</vt:i4>
      </vt:variant>
      <vt:variant>
        <vt:lpwstr/>
      </vt:variant>
      <vt:variant>
        <vt:lpwstr>_Toc469990442</vt:lpwstr>
      </vt:variant>
      <vt:variant>
        <vt:i4>1835056</vt:i4>
      </vt:variant>
      <vt:variant>
        <vt:i4>590</vt:i4>
      </vt:variant>
      <vt:variant>
        <vt:i4>0</vt:i4>
      </vt:variant>
      <vt:variant>
        <vt:i4>5</vt:i4>
      </vt:variant>
      <vt:variant>
        <vt:lpwstr/>
      </vt:variant>
      <vt:variant>
        <vt:lpwstr>_Toc469990441</vt:lpwstr>
      </vt:variant>
      <vt:variant>
        <vt:i4>1835056</vt:i4>
      </vt:variant>
      <vt:variant>
        <vt:i4>584</vt:i4>
      </vt:variant>
      <vt:variant>
        <vt:i4>0</vt:i4>
      </vt:variant>
      <vt:variant>
        <vt:i4>5</vt:i4>
      </vt:variant>
      <vt:variant>
        <vt:lpwstr/>
      </vt:variant>
      <vt:variant>
        <vt:lpwstr>_Toc469990440</vt:lpwstr>
      </vt:variant>
      <vt:variant>
        <vt:i4>1769520</vt:i4>
      </vt:variant>
      <vt:variant>
        <vt:i4>578</vt:i4>
      </vt:variant>
      <vt:variant>
        <vt:i4>0</vt:i4>
      </vt:variant>
      <vt:variant>
        <vt:i4>5</vt:i4>
      </vt:variant>
      <vt:variant>
        <vt:lpwstr/>
      </vt:variant>
      <vt:variant>
        <vt:lpwstr>_Toc469990439</vt:lpwstr>
      </vt:variant>
      <vt:variant>
        <vt:i4>1769520</vt:i4>
      </vt:variant>
      <vt:variant>
        <vt:i4>572</vt:i4>
      </vt:variant>
      <vt:variant>
        <vt:i4>0</vt:i4>
      </vt:variant>
      <vt:variant>
        <vt:i4>5</vt:i4>
      </vt:variant>
      <vt:variant>
        <vt:lpwstr/>
      </vt:variant>
      <vt:variant>
        <vt:lpwstr>_Toc469990438</vt:lpwstr>
      </vt:variant>
      <vt:variant>
        <vt:i4>1769520</vt:i4>
      </vt:variant>
      <vt:variant>
        <vt:i4>566</vt:i4>
      </vt:variant>
      <vt:variant>
        <vt:i4>0</vt:i4>
      </vt:variant>
      <vt:variant>
        <vt:i4>5</vt:i4>
      </vt:variant>
      <vt:variant>
        <vt:lpwstr/>
      </vt:variant>
      <vt:variant>
        <vt:lpwstr>_Toc469990437</vt:lpwstr>
      </vt:variant>
      <vt:variant>
        <vt:i4>1769520</vt:i4>
      </vt:variant>
      <vt:variant>
        <vt:i4>560</vt:i4>
      </vt:variant>
      <vt:variant>
        <vt:i4>0</vt:i4>
      </vt:variant>
      <vt:variant>
        <vt:i4>5</vt:i4>
      </vt:variant>
      <vt:variant>
        <vt:lpwstr/>
      </vt:variant>
      <vt:variant>
        <vt:lpwstr>_Toc469990436</vt:lpwstr>
      </vt:variant>
      <vt:variant>
        <vt:i4>1769520</vt:i4>
      </vt:variant>
      <vt:variant>
        <vt:i4>554</vt:i4>
      </vt:variant>
      <vt:variant>
        <vt:i4>0</vt:i4>
      </vt:variant>
      <vt:variant>
        <vt:i4>5</vt:i4>
      </vt:variant>
      <vt:variant>
        <vt:lpwstr/>
      </vt:variant>
      <vt:variant>
        <vt:lpwstr>_Toc469990435</vt:lpwstr>
      </vt:variant>
      <vt:variant>
        <vt:i4>1769520</vt:i4>
      </vt:variant>
      <vt:variant>
        <vt:i4>548</vt:i4>
      </vt:variant>
      <vt:variant>
        <vt:i4>0</vt:i4>
      </vt:variant>
      <vt:variant>
        <vt:i4>5</vt:i4>
      </vt:variant>
      <vt:variant>
        <vt:lpwstr/>
      </vt:variant>
      <vt:variant>
        <vt:lpwstr>_Toc469990434</vt:lpwstr>
      </vt:variant>
      <vt:variant>
        <vt:i4>1769520</vt:i4>
      </vt:variant>
      <vt:variant>
        <vt:i4>542</vt:i4>
      </vt:variant>
      <vt:variant>
        <vt:i4>0</vt:i4>
      </vt:variant>
      <vt:variant>
        <vt:i4>5</vt:i4>
      </vt:variant>
      <vt:variant>
        <vt:lpwstr/>
      </vt:variant>
      <vt:variant>
        <vt:lpwstr>_Toc469990433</vt:lpwstr>
      </vt:variant>
      <vt:variant>
        <vt:i4>1769520</vt:i4>
      </vt:variant>
      <vt:variant>
        <vt:i4>536</vt:i4>
      </vt:variant>
      <vt:variant>
        <vt:i4>0</vt:i4>
      </vt:variant>
      <vt:variant>
        <vt:i4>5</vt:i4>
      </vt:variant>
      <vt:variant>
        <vt:lpwstr/>
      </vt:variant>
      <vt:variant>
        <vt:lpwstr>_Toc469990432</vt:lpwstr>
      </vt:variant>
      <vt:variant>
        <vt:i4>1769520</vt:i4>
      </vt:variant>
      <vt:variant>
        <vt:i4>530</vt:i4>
      </vt:variant>
      <vt:variant>
        <vt:i4>0</vt:i4>
      </vt:variant>
      <vt:variant>
        <vt:i4>5</vt:i4>
      </vt:variant>
      <vt:variant>
        <vt:lpwstr/>
      </vt:variant>
      <vt:variant>
        <vt:lpwstr>_Toc469990431</vt:lpwstr>
      </vt:variant>
      <vt:variant>
        <vt:i4>1769520</vt:i4>
      </vt:variant>
      <vt:variant>
        <vt:i4>524</vt:i4>
      </vt:variant>
      <vt:variant>
        <vt:i4>0</vt:i4>
      </vt:variant>
      <vt:variant>
        <vt:i4>5</vt:i4>
      </vt:variant>
      <vt:variant>
        <vt:lpwstr/>
      </vt:variant>
      <vt:variant>
        <vt:lpwstr>_Toc469990430</vt:lpwstr>
      </vt:variant>
      <vt:variant>
        <vt:i4>1703984</vt:i4>
      </vt:variant>
      <vt:variant>
        <vt:i4>518</vt:i4>
      </vt:variant>
      <vt:variant>
        <vt:i4>0</vt:i4>
      </vt:variant>
      <vt:variant>
        <vt:i4>5</vt:i4>
      </vt:variant>
      <vt:variant>
        <vt:lpwstr/>
      </vt:variant>
      <vt:variant>
        <vt:lpwstr>_Toc469990429</vt:lpwstr>
      </vt:variant>
      <vt:variant>
        <vt:i4>1703984</vt:i4>
      </vt:variant>
      <vt:variant>
        <vt:i4>512</vt:i4>
      </vt:variant>
      <vt:variant>
        <vt:i4>0</vt:i4>
      </vt:variant>
      <vt:variant>
        <vt:i4>5</vt:i4>
      </vt:variant>
      <vt:variant>
        <vt:lpwstr/>
      </vt:variant>
      <vt:variant>
        <vt:lpwstr>_Toc469990428</vt:lpwstr>
      </vt:variant>
      <vt:variant>
        <vt:i4>1703984</vt:i4>
      </vt:variant>
      <vt:variant>
        <vt:i4>506</vt:i4>
      </vt:variant>
      <vt:variant>
        <vt:i4>0</vt:i4>
      </vt:variant>
      <vt:variant>
        <vt:i4>5</vt:i4>
      </vt:variant>
      <vt:variant>
        <vt:lpwstr/>
      </vt:variant>
      <vt:variant>
        <vt:lpwstr>_Toc469990427</vt:lpwstr>
      </vt:variant>
      <vt:variant>
        <vt:i4>1703984</vt:i4>
      </vt:variant>
      <vt:variant>
        <vt:i4>500</vt:i4>
      </vt:variant>
      <vt:variant>
        <vt:i4>0</vt:i4>
      </vt:variant>
      <vt:variant>
        <vt:i4>5</vt:i4>
      </vt:variant>
      <vt:variant>
        <vt:lpwstr/>
      </vt:variant>
      <vt:variant>
        <vt:lpwstr>_Toc469990426</vt:lpwstr>
      </vt:variant>
      <vt:variant>
        <vt:i4>1703984</vt:i4>
      </vt:variant>
      <vt:variant>
        <vt:i4>494</vt:i4>
      </vt:variant>
      <vt:variant>
        <vt:i4>0</vt:i4>
      </vt:variant>
      <vt:variant>
        <vt:i4>5</vt:i4>
      </vt:variant>
      <vt:variant>
        <vt:lpwstr/>
      </vt:variant>
      <vt:variant>
        <vt:lpwstr>_Toc469990425</vt:lpwstr>
      </vt:variant>
      <vt:variant>
        <vt:i4>1703984</vt:i4>
      </vt:variant>
      <vt:variant>
        <vt:i4>488</vt:i4>
      </vt:variant>
      <vt:variant>
        <vt:i4>0</vt:i4>
      </vt:variant>
      <vt:variant>
        <vt:i4>5</vt:i4>
      </vt:variant>
      <vt:variant>
        <vt:lpwstr/>
      </vt:variant>
      <vt:variant>
        <vt:lpwstr>_Toc469990424</vt:lpwstr>
      </vt:variant>
      <vt:variant>
        <vt:i4>1703984</vt:i4>
      </vt:variant>
      <vt:variant>
        <vt:i4>482</vt:i4>
      </vt:variant>
      <vt:variant>
        <vt:i4>0</vt:i4>
      </vt:variant>
      <vt:variant>
        <vt:i4>5</vt:i4>
      </vt:variant>
      <vt:variant>
        <vt:lpwstr/>
      </vt:variant>
      <vt:variant>
        <vt:lpwstr>_Toc469990423</vt:lpwstr>
      </vt:variant>
      <vt:variant>
        <vt:i4>1703984</vt:i4>
      </vt:variant>
      <vt:variant>
        <vt:i4>476</vt:i4>
      </vt:variant>
      <vt:variant>
        <vt:i4>0</vt:i4>
      </vt:variant>
      <vt:variant>
        <vt:i4>5</vt:i4>
      </vt:variant>
      <vt:variant>
        <vt:lpwstr/>
      </vt:variant>
      <vt:variant>
        <vt:lpwstr>_Toc469990422</vt:lpwstr>
      </vt:variant>
      <vt:variant>
        <vt:i4>1703984</vt:i4>
      </vt:variant>
      <vt:variant>
        <vt:i4>470</vt:i4>
      </vt:variant>
      <vt:variant>
        <vt:i4>0</vt:i4>
      </vt:variant>
      <vt:variant>
        <vt:i4>5</vt:i4>
      </vt:variant>
      <vt:variant>
        <vt:lpwstr/>
      </vt:variant>
      <vt:variant>
        <vt:lpwstr>_Toc469990421</vt:lpwstr>
      </vt:variant>
      <vt:variant>
        <vt:i4>1703984</vt:i4>
      </vt:variant>
      <vt:variant>
        <vt:i4>464</vt:i4>
      </vt:variant>
      <vt:variant>
        <vt:i4>0</vt:i4>
      </vt:variant>
      <vt:variant>
        <vt:i4>5</vt:i4>
      </vt:variant>
      <vt:variant>
        <vt:lpwstr/>
      </vt:variant>
      <vt:variant>
        <vt:lpwstr>_Toc469990420</vt:lpwstr>
      </vt:variant>
      <vt:variant>
        <vt:i4>1638448</vt:i4>
      </vt:variant>
      <vt:variant>
        <vt:i4>458</vt:i4>
      </vt:variant>
      <vt:variant>
        <vt:i4>0</vt:i4>
      </vt:variant>
      <vt:variant>
        <vt:i4>5</vt:i4>
      </vt:variant>
      <vt:variant>
        <vt:lpwstr/>
      </vt:variant>
      <vt:variant>
        <vt:lpwstr>_Toc469990419</vt:lpwstr>
      </vt:variant>
      <vt:variant>
        <vt:i4>1638448</vt:i4>
      </vt:variant>
      <vt:variant>
        <vt:i4>452</vt:i4>
      </vt:variant>
      <vt:variant>
        <vt:i4>0</vt:i4>
      </vt:variant>
      <vt:variant>
        <vt:i4>5</vt:i4>
      </vt:variant>
      <vt:variant>
        <vt:lpwstr/>
      </vt:variant>
      <vt:variant>
        <vt:lpwstr>_Toc469990418</vt:lpwstr>
      </vt:variant>
      <vt:variant>
        <vt:i4>1638448</vt:i4>
      </vt:variant>
      <vt:variant>
        <vt:i4>446</vt:i4>
      </vt:variant>
      <vt:variant>
        <vt:i4>0</vt:i4>
      </vt:variant>
      <vt:variant>
        <vt:i4>5</vt:i4>
      </vt:variant>
      <vt:variant>
        <vt:lpwstr/>
      </vt:variant>
      <vt:variant>
        <vt:lpwstr>_Toc469990417</vt:lpwstr>
      </vt:variant>
      <vt:variant>
        <vt:i4>1638448</vt:i4>
      </vt:variant>
      <vt:variant>
        <vt:i4>440</vt:i4>
      </vt:variant>
      <vt:variant>
        <vt:i4>0</vt:i4>
      </vt:variant>
      <vt:variant>
        <vt:i4>5</vt:i4>
      </vt:variant>
      <vt:variant>
        <vt:lpwstr/>
      </vt:variant>
      <vt:variant>
        <vt:lpwstr>_Toc469990416</vt:lpwstr>
      </vt:variant>
      <vt:variant>
        <vt:i4>1638448</vt:i4>
      </vt:variant>
      <vt:variant>
        <vt:i4>434</vt:i4>
      </vt:variant>
      <vt:variant>
        <vt:i4>0</vt:i4>
      </vt:variant>
      <vt:variant>
        <vt:i4>5</vt:i4>
      </vt:variant>
      <vt:variant>
        <vt:lpwstr/>
      </vt:variant>
      <vt:variant>
        <vt:lpwstr>_Toc469990415</vt:lpwstr>
      </vt:variant>
      <vt:variant>
        <vt:i4>1638448</vt:i4>
      </vt:variant>
      <vt:variant>
        <vt:i4>428</vt:i4>
      </vt:variant>
      <vt:variant>
        <vt:i4>0</vt:i4>
      </vt:variant>
      <vt:variant>
        <vt:i4>5</vt:i4>
      </vt:variant>
      <vt:variant>
        <vt:lpwstr/>
      </vt:variant>
      <vt:variant>
        <vt:lpwstr>_Toc469990414</vt:lpwstr>
      </vt:variant>
      <vt:variant>
        <vt:i4>1638448</vt:i4>
      </vt:variant>
      <vt:variant>
        <vt:i4>422</vt:i4>
      </vt:variant>
      <vt:variant>
        <vt:i4>0</vt:i4>
      </vt:variant>
      <vt:variant>
        <vt:i4>5</vt:i4>
      </vt:variant>
      <vt:variant>
        <vt:lpwstr/>
      </vt:variant>
      <vt:variant>
        <vt:lpwstr>_Toc469990413</vt:lpwstr>
      </vt:variant>
      <vt:variant>
        <vt:i4>1638448</vt:i4>
      </vt:variant>
      <vt:variant>
        <vt:i4>416</vt:i4>
      </vt:variant>
      <vt:variant>
        <vt:i4>0</vt:i4>
      </vt:variant>
      <vt:variant>
        <vt:i4>5</vt:i4>
      </vt:variant>
      <vt:variant>
        <vt:lpwstr/>
      </vt:variant>
      <vt:variant>
        <vt:lpwstr>_Toc469990412</vt:lpwstr>
      </vt:variant>
      <vt:variant>
        <vt:i4>1638448</vt:i4>
      </vt:variant>
      <vt:variant>
        <vt:i4>410</vt:i4>
      </vt:variant>
      <vt:variant>
        <vt:i4>0</vt:i4>
      </vt:variant>
      <vt:variant>
        <vt:i4>5</vt:i4>
      </vt:variant>
      <vt:variant>
        <vt:lpwstr/>
      </vt:variant>
      <vt:variant>
        <vt:lpwstr>_Toc469990411</vt:lpwstr>
      </vt:variant>
      <vt:variant>
        <vt:i4>1638448</vt:i4>
      </vt:variant>
      <vt:variant>
        <vt:i4>404</vt:i4>
      </vt:variant>
      <vt:variant>
        <vt:i4>0</vt:i4>
      </vt:variant>
      <vt:variant>
        <vt:i4>5</vt:i4>
      </vt:variant>
      <vt:variant>
        <vt:lpwstr/>
      </vt:variant>
      <vt:variant>
        <vt:lpwstr>_Toc469990410</vt:lpwstr>
      </vt:variant>
      <vt:variant>
        <vt:i4>1572912</vt:i4>
      </vt:variant>
      <vt:variant>
        <vt:i4>398</vt:i4>
      </vt:variant>
      <vt:variant>
        <vt:i4>0</vt:i4>
      </vt:variant>
      <vt:variant>
        <vt:i4>5</vt:i4>
      </vt:variant>
      <vt:variant>
        <vt:lpwstr/>
      </vt:variant>
      <vt:variant>
        <vt:lpwstr>_Toc469990409</vt:lpwstr>
      </vt:variant>
      <vt:variant>
        <vt:i4>1572912</vt:i4>
      </vt:variant>
      <vt:variant>
        <vt:i4>392</vt:i4>
      </vt:variant>
      <vt:variant>
        <vt:i4>0</vt:i4>
      </vt:variant>
      <vt:variant>
        <vt:i4>5</vt:i4>
      </vt:variant>
      <vt:variant>
        <vt:lpwstr/>
      </vt:variant>
      <vt:variant>
        <vt:lpwstr>_Toc469990408</vt:lpwstr>
      </vt:variant>
      <vt:variant>
        <vt:i4>1572912</vt:i4>
      </vt:variant>
      <vt:variant>
        <vt:i4>386</vt:i4>
      </vt:variant>
      <vt:variant>
        <vt:i4>0</vt:i4>
      </vt:variant>
      <vt:variant>
        <vt:i4>5</vt:i4>
      </vt:variant>
      <vt:variant>
        <vt:lpwstr/>
      </vt:variant>
      <vt:variant>
        <vt:lpwstr>_Toc469990407</vt:lpwstr>
      </vt:variant>
      <vt:variant>
        <vt:i4>1572912</vt:i4>
      </vt:variant>
      <vt:variant>
        <vt:i4>380</vt:i4>
      </vt:variant>
      <vt:variant>
        <vt:i4>0</vt:i4>
      </vt:variant>
      <vt:variant>
        <vt:i4>5</vt:i4>
      </vt:variant>
      <vt:variant>
        <vt:lpwstr/>
      </vt:variant>
      <vt:variant>
        <vt:lpwstr>_Toc469990406</vt:lpwstr>
      </vt:variant>
      <vt:variant>
        <vt:i4>1572912</vt:i4>
      </vt:variant>
      <vt:variant>
        <vt:i4>374</vt:i4>
      </vt:variant>
      <vt:variant>
        <vt:i4>0</vt:i4>
      </vt:variant>
      <vt:variant>
        <vt:i4>5</vt:i4>
      </vt:variant>
      <vt:variant>
        <vt:lpwstr/>
      </vt:variant>
      <vt:variant>
        <vt:lpwstr>_Toc469990405</vt:lpwstr>
      </vt:variant>
      <vt:variant>
        <vt:i4>1572912</vt:i4>
      </vt:variant>
      <vt:variant>
        <vt:i4>368</vt:i4>
      </vt:variant>
      <vt:variant>
        <vt:i4>0</vt:i4>
      </vt:variant>
      <vt:variant>
        <vt:i4>5</vt:i4>
      </vt:variant>
      <vt:variant>
        <vt:lpwstr/>
      </vt:variant>
      <vt:variant>
        <vt:lpwstr>_Toc469990404</vt:lpwstr>
      </vt:variant>
      <vt:variant>
        <vt:i4>1572912</vt:i4>
      </vt:variant>
      <vt:variant>
        <vt:i4>362</vt:i4>
      </vt:variant>
      <vt:variant>
        <vt:i4>0</vt:i4>
      </vt:variant>
      <vt:variant>
        <vt:i4>5</vt:i4>
      </vt:variant>
      <vt:variant>
        <vt:lpwstr/>
      </vt:variant>
      <vt:variant>
        <vt:lpwstr>_Toc469990403</vt:lpwstr>
      </vt:variant>
      <vt:variant>
        <vt:i4>1572912</vt:i4>
      </vt:variant>
      <vt:variant>
        <vt:i4>356</vt:i4>
      </vt:variant>
      <vt:variant>
        <vt:i4>0</vt:i4>
      </vt:variant>
      <vt:variant>
        <vt:i4>5</vt:i4>
      </vt:variant>
      <vt:variant>
        <vt:lpwstr/>
      </vt:variant>
      <vt:variant>
        <vt:lpwstr>_Toc469990402</vt:lpwstr>
      </vt:variant>
      <vt:variant>
        <vt:i4>1572912</vt:i4>
      </vt:variant>
      <vt:variant>
        <vt:i4>350</vt:i4>
      </vt:variant>
      <vt:variant>
        <vt:i4>0</vt:i4>
      </vt:variant>
      <vt:variant>
        <vt:i4>5</vt:i4>
      </vt:variant>
      <vt:variant>
        <vt:lpwstr/>
      </vt:variant>
      <vt:variant>
        <vt:lpwstr>_Toc469990401</vt:lpwstr>
      </vt:variant>
      <vt:variant>
        <vt:i4>1572912</vt:i4>
      </vt:variant>
      <vt:variant>
        <vt:i4>344</vt:i4>
      </vt:variant>
      <vt:variant>
        <vt:i4>0</vt:i4>
      </vt:variant>
      <vt:variant>
        <vt:i4>5</vt:i4>
      </vt:variant>
      <vt:variant>
        <vt:lpwstr/>
      </vt:variant>
      <vt:variant>
        <vt:lpwstr>_Toc469990400</vt:lpwstr>
      </vt:variant>
      <vt:variant>
        <vt:i4>1114167</vt:i4>
      </vt:variant>
      <vt:variant>
        <vt:i4>338</vt:i4>
      </vt:variant>
      <vt:variant>
        <vt:i4>0</vt:i4>
      </vt:variant>
      <vt:variant>
        <vt:i4>5</vt:i4>
      </vt:variant>
      <vt:variant>
        <vt:lpwstr/>
      </vt:variant>
      <vt:variant>
        <vt:lpwstr>_Toc469990399</vt:lpwstr>
      </vt:variant>
      <vt:variant>
        <vt:i4>1114167</vt:i4>
      </vt:variant>
      <vt:variant>
        <vt:i4>332</vt:i4>
      </vt:variant>
      <vt:variant>
        <vt:i4>0</vt:i4>
      </vt:variant>
      <vt:variant>
        <vt:i4>5</vt:i4>
      </vt:variant>
      <vt:variant>
        <vt:lpwstr/>
      </vt:variant>
      <vt:variant>
        <vt:lpwstr>_Toc469990398</vt:lpwstr>
      </vt:variant>
      <vt:variant>
        <vt:i4>1114167</vt:i4>
      </vt:variant>
      <vt:variant>
        <vt:i4>326</vt:i4>
      </vt:variant>
      <vt:variant>
        <vt:i4>0</vt:i4>
      </vt:variant>
      <vt:variant>
        <vt:i4>5</vt:i4>
      </vt:variant>
      <vt:variant>
        <vt:lpwstr/>
      </vt:variant>
      <vt:variant>
        <vt:lpwstr>_Toc469990397</vt:lpwstr>
      </vt:variant>
      <vt:variant>
        <vt:i4>1114167</vt:i4>
      </vt:variant>
      <vt:variant>
        <vt:i4>320</vt:i4>
      </vt:variant>
      <vt:variant>
        <vt:i4>0</vt:i4>
      </vt:variant>
      <vt:variant>
        <vt:i4>5</vt:i4>
      </vt:variant>
      <vt:variant>
        <vt:lpwstr/>
      </vt:variant>
      <vt:variant>
        <vt:lpwstr>_Toc469990396</vt:lpwstr>
      </vt:variant>
      <vt:variant>
        <vt:i4>1114167</vt:i4>
      </vt:variant>
      <vt:variant>
        <vt:i4>314</vt:i4>
      </vt:variant>
      <vt:variant>
        <vt:i4>0</vt:i4>
      </vt:variant>
      <vt:variant>
        <vt:i4>5</vt:i4>
      </vt:variant>
      <vt:variant>
        <vt:lpwstr/>
      </vt:variant>
      <vt:variant>
        <vt:lpwstr>_Toc469990395</vt:lpwstr>
      </vt:variant>
      <vt:variant>
        <vt:i4>1114167</vt:i4>
      </vt:variant>
      <vt:variant>
        <vt:i4>308</vt:i4>
      </vt:variant>
      <vt:variant>
        <vt:i4>0</vt:i4>
      </vt:variant>
      <vt:variant>
        <vt:i4>5</vt:i4>
      </vt:variant>
      <vt:variant>
        <vt:lpwstr/>
      </vt:variant>
      <vt:variant>
        <vt:lpwstr>_Toc469990394</vt:lpwstr>
      </vt:variant>
      <vt:variant>
        <vt:i4>1114167</vt:i4>
      </vt:variant>
      <vt:variant>
        <vt:i4>302</vt:i4>
      </vt:variant>
      <vt:variant>
        <vt:i4>0</vt:i4>
      </vt:variant>
      <vt:variant>
        <vt:i4>5</vt:i4>
      </vt:variant>
      <vt:variant>
        <vt:lpwstr/>
      </vt:variant>
      <vt:variant>
        <vt:lpwstr>_Toc469990393</vt:lpwstr>
      </vt:variant>
      <vt:variant>
        <vt:i4>1114167</vt:i4>
      </vt:variant>
      <vt:variant>
        <vt:i4>296</vt:i4>
      </vt:variant>
      <vt:variant>
        <vt:i4>0</vt:i4>
      </vt:variant>
      <vt:variant>
        <vt:i4>5</vt:i4>
      </vt:variant>
      <vt:variant>
        <vt:lpwstr/>
      </vt:variant>
      <vt:variant>
        <vt:lpwstr>_Toc469990392</vt:lpwstr>
      </vt:variant>
      <vt:variant>
        <vt:i4>1114167</vt:i4>
      </vt:variant>
      <vt:variant>
        <vt:i4>290</vt:i4>
      </vt:variant>
      <vt:variant>
        <vt:i4>0</vt:i4>
      </vt:variant>
      <vt:variant>
        <vt:i4>5</vt:i4>
      </vt:variant>
      <vt:variant>
        <vt:lpwstr/>
      </vt:variant>
      <vt:variant>
        <vt:lpwstr>_Toc469990391</vt:lpwstr>
      </vt:variant>
      <vt:variant>
        <vt:i4>1114167</vt:i4>
      </vt:variant>
      <vt:variant>
        <vt:i4>284</vt:i4>
      </vt:variant>
      <vt:variant>
        <vt:i4>0</vt:i4>
      </vt:variant>
      <vt:variant>
        <vt:i4>5</vt:i4>
      </vt:variant>
      <vt:variant>
        <vt:lpwstr/>
      </vt:variant>
      <vt:variant>
        <vt:lpwstr>_Toc469990390</vt:lpwstr>
      </vt:variant>
      <vt:variant>
        <vt:i4>1048631</vt:i4>
      </vt:variant>
      <vt:variant>
        <vt:i4>278</vt:i4>
      </vt:variant>
      <vt:variant>
        <vt:i4>0</vt:i4>
      </vt:variant>
      <vt:variant>
        <vt:i4>5</vt:i4>
      </vt:variant>
      <vt:variant>
        <vt:lpwstr/>
      </vt:variant>
      <vt:variant>
        <vt:lpwstr>_Toc469990389</vt:lpwstr>
      </vt:variant>
      <vt:variant>
        <vt:i4>1048631</vt:i4>
      </vt:variant>
      <vt:variant>
        <vt:i4>272</vt:i4>
      </vt:variant>
      <vt:variant>
        <vt:i4>0</vt:i4>
      </vt:variant>
      <vt:variant>
        <vt:i4>5</vt:i4>
      </vt:variant>
      <vt:variant>
        <vt:lpwstr/>
      </vt:variant>
      <vt:variant>
        <vt:lpwstr>_Toc469990388</vt:lpwstr>
      </vt:variant>
      <vt:variant>
        <vt:i4>1048631</vt:i4>
      </vt:variant>
      <vt:variant>
        <vt:i4>266</vt:i4>
      </vt:variant>
      <vt:variant>
        <vt:i4>0</vt:i4>
      </vt:variant>
      <vt:variant>
        <vt:i4>5</vt:i4>
      </vt:variant>
      <vt:variant>
        <vt:lpwstr/>
      </vt:variant>
      <vt:variant>
        <vt:lpwstr>_Toc469990387</vt:lpwstr>
      </vt:variant>
      <vt:variant>
        <vt:i4>1048631</vt:i4>
      </vt:variant>
      <vt:variant>
        <vt:i4>260</vt:i4>
      </vt:variant>
      <vt:variant>
        <vt:i4>0</vt:i4>
      </vt:variant>
      <vt:variant>
        <vt:i4>5</vt:i4>
      </vt:variant>
      <vt:variant>
        <vt:lpwstr/>
      </vt:variant>
      <vt:variant>
        <vt:lpwstr>_Toc469990386</vt:lpwstr>
      </vt:variant>
      <vt:variant>
        <vt:i4>1048631</vt:i4>
      </vt:variant>
      <vt:variant>
        <vt:i4>254</vt:i4>
      </vt:variant>
      <vt:variant>
        <vt:i4>0</vt:i4>
      </vt:variant>
      <vt:variant>
        <vt:i4>5</vt:i4>
      </vt:variant>
      <vt:variant>
        <vt:lpwstr/>
      </vt:variant>
      <vt:variant>
        <vt:lpwstr>_Toc469990385</vt:lpwstr>
      </vt:variant>
      <vt:variant>
        <vt:i4>1048631</vt:i4>
      </vt:variant>
      <vt:variant>
        <vt:i4>248</vt:i4>
      </vt:variant>
      <vt:variant>
        <vt:i4>0</vt:i4>
      </vt:variant>
      <vt:variant>
        <vt:i4>5</vt:i4>
      </vt:variant>
      <vt:variant>
        <vt:lpwstr/>
      </vt:variant>
      <vt:variant>
        <vt:lpwstr>_Toc469990384</vt:lpwstr>
      </vt:variant>
      <vt:variant>
        <vt:i4>1048631</vt:i4>
      </vt:variant>
      <vt:variant>
        <vt:i4>242</vt:i4>
      </vt:variant>
      <vt:variant>
        <vt:i4>0</vt:i4>
      </vt:variant>
      <vt:variant>
        <vt:i4>5</vt:i4>
      </vt:variant>
      <vt:variant>
        <vt:lpwstr/>
      </vt:variant>
      <vt:variant>
        <vt:lpwstr>_Toc469990383</vt:lpwstr>
      </vt:variant>
      <vt:variant>
        <vt:i4>1048631</vt:i4>
      </vt:variant>
      <vt:variant>
        <vt:i4>236</vt:i4>
      </vt:variant>
      <vt:variant>
        <vt:i4>0</vt:i4>
      </vt:variant>
      <vt:variant>
        <vt:i4>5</vt:i4>
      </vt:variant>
      <vt:variant>
        <vt:lpwstr/>
      </vt:variant>
      <vt:variant>
        <vt:lpwstr>_Toc469990382</vt:lpwstr>
      </vt:variant>
      <vt:variant>
        <vt:i4>1048631</vt:i4>
      </vt:variant>
      <vt:variant>
        <vt:i4>230</vt:i4>
      </vt:variant>
      <vt:variant>
        <vt:i4>0</vt:i4>
      </vt:variant>
      <vt:variant>
        <vt:i4>5</vt:i4>
      </vt:variant>
      <vt:variant>
        <vt:lpwstr/>
      </vt:variant>
      <vt:variant>
        <vt:lpwstr>_Toc469990381</vt:lpwstr>
      </vt:variant>
      <vt:variant>
        <vt:i4>1048631</vt:i4>
      </vt:variant>
      <vt:variant>
        <vt:i4>224</vt:i4>
      </vt:variant>
      <vt:variant>
        <vt:i4>0</vt:i4>
      </vt:variant>
      <vt:variant>
        <vt:i4>5</vt:i4>
      </vt:variant>
      <vt:variant>
        <vt:lpwstr/>
      </vt:variant>
      <vt:variant>
        <vt:lpwstr>_Toc469990380</vt:lpwstr>
      </vt:variant>
      <vt:variant>
        <vt:i4>2031671</vt:i4>
      </vt:variant>
      <vt:variant>
        <vt:i4>218</vt:i4>
      </vt:variant>
      <vt:variant>
        <vt:i4>0</vt:i4>
      </vt:variant>
      <vt:variant>
        <vt:i4>5</vt:i4>
      </vt:variant>
      <vt:variant>
        <vt:lpwstr/>
      </vt:variant>
      <vt:variant>
        <vt:lpwstr>_Toc469990379</vt:lpwstr>
      </vt:variant>
      <vt:variant>
        <vt:i4>2031671</vt:i4>
      </vt:variant>
      <vt:variant>
        <vt:i4>212</vt:i4>
      </vt:variant>
      <vt:variant>
        <vt:i4>0</vt:i4>
      </vt:variant>
      <vt:variant>
        <vt:i4>5</vt:i4>
      </vt:variant>
      <vt:variant>
        <vt:lpwstr/>
      </vt:variant>
      <vt:variant>
        <vt:lpwstr>_Toc469990378</vt:lpwstr>
      </vt:variant>
      <vt:variant>
        <vt:i4>2031671</vt:i4>
      </vt:variant>
      <vt:variant>
        <vt:i4>206</vt:i4>
      </vt:variant>
      <vt:variant>
        <vt:i4>0</vt:i4>
      </vt:variant>
      <vt:variant>
        <vt:i4>5</vt:i4>
      </vt:variant>
      <vt:variant>
        <vt:lpwstr/>
      </vt:variant>
      <vt:variant>
        <vt:lpwstr>_Toc469990377</vt:lpwstr>
      </vt:variant>
      <vt:variant>
        <vt:i4>2031671</vt:i4>
      </vt:variant>
      <vt:variant>
        <vt:i4>200</vt:i4>
      </vt:variant>
      <vt:variant>
        <vt:i4>0</vt:i4>
      </vt:variant>
      <vt:variant>
        <vt:i4>5</vt:i4>
      </vt:variant>
      <vt:variant>
        <vt:lpwstr/>
      </vt:variant>
      <vt:variant>
        <vt:lpwstr>_Toc469990376</vt:lpwstr>
      </vt:variant>
      <vt:variant>
        <vt:i4>2031671</vt:i4>
      </vt:variant>
      <vt:variant>
        <vt:i4>194</vt:i4>
      </vt:variant>
      <vt:variant>
        <vt:i4>0</vt:i4>
      </vt:variant>
      <vt:variant>
        <vt:i4>5</vt:i4>
      </vt:variant>
      <vt:variant>
        <vt:lpwstr/>
      </vt:variant>
      <vt:variant>
        <vt:lpwstr>_Toc469990375</vt:lpwstr>
      </vt:variant>
      <vt:variant>
        <vt:i4>2031671</vt:i4>
      </vt:variant>
      <vt:variant>
        <vt:i4>188</vt:i4>
      </vt:variant>
      <vt:variant>
        <vt:i4>0</vt:i4>
      </vt:variant>
      <vt:variant>
        <vt:i4>5</vt:i4>
      </vt:variant>
      <vt:variant>
        <vt:lpwstr/>
      </vt:variant>
      <vt:variant>
        <vt:lpwstr>_Toc469990374</vt:lpwstr>
      </vt:variant>
      <vt:variant>
        <vt:i4>2031671</vt:i4>
      </vt:variant>
      <vt:variant>
        <vt:i4>182</vt:i4>
      </vt:variant>
      <vt:variant>
        <vt:i4>0</vt:i4>
      </vt:variant>
      <vt:variant>
        <vt:i4>5</vt:i4>
      </vt:variant>
      <vt:variant>
        <vt:lpwstr/>
      </vt:variant>
      <vt:variant>
        <vt:lpwstr>_Toc469990373</vt:lpwstr>
      </vt:variant>
      <vt:variant>
        <vt:i4>2031671</vt:i4>
      </vt:variant>
      <vt:variant>
        <vt:i4>176</vt:i4>
      </vt:variant>
      <vt:variant>
        <vt:i4>0</vt:i4>
      </vt:variant>
      <vt:variant>
        <vt:i4>5</vt:i4>
      </vt:variant>
      <vt:variant>
        <vt:lpwstr/>
      </vt:variant>
      <vt:variant>
        <vt:lpwstr>_Toc469990372</vt:lpwstr>
      </vt:variant>
      <vt:variant>
        <vt:i4>2031671</vt:i4>
      </vt:variant>
      <vt:variant>
        <vt:i4>170</vt:i4>
      </vt:variant>
      <vt:variant>
        <vt:i4>0</vt:i4>
      </vt:variant>
      <vt:variant>
        <vt:i4>5</vt:i4>
      </vt:variant>
      <vt:variant>
        <vt:lpwstr/>
      </vt:variant>
      <vt:variant>
        <vt:lpwstr>_Toc469990371</vt:lpwstr>
      </vt:variant>
      <vt:variant>
        <vt:i4>2031671</vt:i4>
      </vt:variant>
      <vt:variant>
        <vt:i4>164</vt:i4>
      </vt:variant>
      <vt:variant>
        <vt:i4>0</vt:i4>
      </vt:variant>
      <vt:variant>
        <vt:i4>5</vt:i4>
      </vt:variant>
      <vt:variant>
        <vt:lpwstr/>
      </vt:variant>
      <vt:variant>
        <vt:lpwstr>_Toc469990370</vt:lpwstr>
      </vt:variant>
      <vt:variant>
        <vt:i4>1966135</vt:i4>
      </vt:variant>
      <vt:variant>
        <vt:i4>158</vt:i4>
      </vt:variant>
      <vt:variant>
        <vt:i4>0</vt:i4>
      </vt:variant>
      <vt:variant>
        <vt:i4>5</vt:i4>
      </vt:variant>
      <vt:variant>
        <vt:lpwstr/>
      </vt:variant>
      <vt:variant>
        <vt:lpwstr>_Toc469990369</vt:lpwstr>
      </vt:variant>
      <vt:variant>
        <vt:i4>1966135</vt:i4>
      </vt:variant>
      <vt:variant>
        <vt:i4>152</vt:i4>
      </vt:variant>
      <vt:variant>
        <vt:i4>0</vt:i4>
      </vt:variant>
      <vt:variant>
        <vt:i4>5</vt:i4>
      </vt:variant>
      <vt:variant>
        <vt:lpwstr/>
      </vt:variant>
      <vt:variant>
        <vt:lpwstr>_Toc469990368</vt:lpwstr>
      </vt:variant>
      <vt:variant>
        <vt:i4>1966135</vt:i4>
      </vt:variant>
      <vt:variant>
        <vt:i4>146</vt:i4>
      </vt:variant>
      <vt:variant>
        <vt:i4>0</vt:i4>
      </vt:variant>
      <vt:variant>
        <vt:i4>5</vt:i4>
      </vt:variant>
      <vt:variant>
        <vt:lpwstr/>
      </vt:variant>
      <vt:variant>
        <vt:lpwstr>_Toc469990367</vt:lpwstr>
      </vt:variant>
      <vt:variant>
        <vt:i4>1966135</vt:i4>
      </vt:variant>
      <vt:variant>
        <vt:i4>140</vt:i4>
      </vt:variant>
      <vt:variant>
        <vt:i4>0</vt:i4>
      </vt:variant>
      <vt:variant>
        <vt:i4>5</vt:i4>
      </vt:variant>
      <vt:variant>
        <vt:lpwstr/>
      </vt:variant>
      <vt:variant>
        <vt:lpwstr>_Toc469990366</vt:lpwstr>
      </vt:variant>
      <vt:variant>
        <vt:i4>1966135</vt:i4>
      </vt:variant>
      <vt:variant>
        <vt:i4>134</vt:i4>
      </vt:variant>
      <vt:variant>
        <vt:i4>0</vt:i4>
      </vt:variant>
      <vt:variant>
        <vt:i4>5</vt:i4>
      </vt:variant>
      <vt:variant>
        <vt:lpwstr/>
      </vt:variant>
      <vt:variant>
        <vt:lpwstr>_Toc469990365</vt:lpwstr>
      </vt:variant>
      <vt:variant>
        <vt:i4>1966135</vt:i4>
      </vt:variant>
      <vt:variant>
        <vt:i4>128</vt:i4>
      </vt:variant>
      <vt:variant>
        <vt:i4>0</vt:i4>
      </vt:variant>
      <vt:variant>
        <vt:i4>5</vt:i4>
      </vt:variant>
      <vt:variant>
        <vt:lpwstr/>
      </vt:variant>
      <vt:variant>
        <vt:lpwstr>_Toc469990364</vt:lpwstr>
      </vt:variant>
      <vt:variant>
        <vt:i4>1966135</vt:i4>
      </vt:variant>
      <vt:variant>
        <vt:i4>122</vt:i4>
      </vt:variant>
      <vt:variant>
        <vt:i4>0</vt:i4>
      </vt:variant>
      <vt:variant>
        <vt:i4>5</vt:i4>
      </vt:variant>
      <vt:variant>
        <vt:lpwstr/>
      </vt:variant>
      <vt:variant>
        <vt:lpwstr>_Toc469990363</vt:lpwstr>
      </vt:variant>
      <vt:variant>
        <vt:i4>1966135</vt:i4>
      </vt:variant>
      <vt:variant>
        <vt:i4>116</vt:i4>
      </vt:variant>
      <vt:variant>
        <vt:i4>0</vt:i4>
      </vt:variant>
      <vt:variant>
        <vt:i4>5</vt:i4>
      </vt:variant>
      <vt:variant>
        <vt:lpwstr/>
      </vt:variant>
      <vt:variant>
        <vt:lpwstr>_Toc469990362</vt:lpwstr>
      </vt:variant>
      <vt:variant>
        <vt:i4>1966135</vt:i4>
      </vt:variant>
      <vt:variant>
        <vt:i4>110</vt:i4>
      </vt:variant>
      <vt:variant>
        <vt:i4>0</vt:i4>
      </vt:variant>
      <vt:variant>
        <vt:i4>5</vt:i4>
      </vt:variant>
      <vt:variant>
        <vt:lpwstr/>
      </vt:variant>
      <vt:variant>
        <vt:lpwstr>_Toc469990361</vt:lpwstr>
      </vt:variant>
      <vt:variant>
        <vt:i4>1966135</vt:i4>
      </vt:variant>
      <vt:variant>
        <vt:i4>104</vt:i4>
      </vt:variant>
      <vt:variant>
        <vt:i4>0</vt:i4>
      </vt:variant>
      <vt:variant>
        <vt:i4>5</vt:i4>
      </vt:variant>
      <vt:variant>
        <vt:lpwstr/>
      </vt:variant>
      <vt:variant>
        <vt:lpwstr>_Toc469990360</vt:lpwstr>
      </vt:variant>
      <vt:variant>
        <vt:i4>1900599</vt:i4>
      </vt:variant>
      <vt:variant>
        <vt:i4>98</vt:i4>
      </vt:variant>
      <vt:variant>
        <vt:i4>0</vt:i4>
      </vt:variant>
      <vt:variant>
        <vt:i4>5</vt:i4>
      </vt:variant>
      <vt:variant>
        <vt:lpwstr/>
      </vt:variant>
      <vt:variant>
        <vt:lpwstr>_Toc469990359</vt:lpwstr>
      </vt:variant>
      <vt:variant>
        <vt:i4>1900599</vt:i4>
      </vt:variant>
      <vt:variant>
        <vt:i4>92</vt:i4>
      </vt:variant>
      <vt:variant>
        <vt:i4>0</vt:i4>
      </vt:variant>
      <vt:variant>
        <vt:i4>5</vt:i4>
      </vt:variant>
      <vt:variant>
        <vt:lpwstr/>
      </vt:variant>
      <vt:variant>
        <vt:lpwstr>_Toc469990358</vt:lpwstr>
      </vt:variant>
      <vt:variant>
        <vt:i4>1900599</vt:i4>
      </vt:variant>
      <vt:variant>
        <vt:i4>86</vt:i4>
      </vt:variant>
      <vt:variant>
        <vt:i4>0</vt:i4>
      </vt:variant>
      <vt:variant>
        <vt:i4>5</vt:i4>
      </vt:variant>
      <vt:variant>
        <vt:lpwstr/>
      </vt:variant>
      <vt:variant>
        <vt:lpwstr>_Toc469990357</vt:lpwstr>
      </vt:variant>
      <vt:variant>
        <vt:i4>1900599</vt:i4>
      </vt:variant>
      <vt:variant>
        <vt:i4>80</vt:i4>
      </vt:variant>
      <vt:variant>
        <vt:i4>0</vt:i4>
      </vt:variant>
      <vt:variant>
        <vt:i4>5</vt:i4>
      </vt:variant>
      <vt:variant>
        <vt:lpwstr/>
      </vt:variant>
      <vt:variant>
        <vt:lpwstr>_Toc469990356</vt:lpwstr>
      </vt:variant>
      <vt:variant>
        <vt:i4>1900599</vt:i4>
      </vt:variant>
      <vt:variant>
        <vt:i4>74</vt:i4>
      </vt:variant>
      <vt:variant>
        <vt:i4>0</vt:i4>
      </vt:variant>
      <vt:variant>
        <vt:i4>5</vt:i4>
      </vt:variant>
      <vt:variant>
        <vt:lpwstr/>
      </vt:variant>
      <vt:variant>
        <vt:lpwstr>_Toc469990355</vt:lpwstr>
      </vt:variant>
      <vt:variant>
        <vt:i4>1900599</vt:i4>
      </vt:variant>
      <vt:variant>
        <vt:i4>68</vt:i4>
      </vt:variant>
      <vt:variant>
        <vt:i4>0</vt:i4>
      </vt:variant>
      <vt:variant>
        <vt:i4>5</vt:i4>
      </vt:variant>
      <vt:variant>
        <vt:lpwstr/>
      </vt:variant>
      <vt:variant>
        <vt:lpwstr>_Toc469990354</vt:lpwstr>
      </vt:variant>
      <vt:variant>
        <vt:i4>1900599</vt:i4>
      </vt:variant>
      <vt:variant>
        <vt:i4>62</vt:i4>
      </vt:variant>
      <vt:variant>
        <vt:i4>0</vt:i4>
      </vt:variant>
      <vt:variant>
        <vt:i4>5</vt:i4>
      </vt:variant>
      <vt:variant>
        <vt:lpwstr/>
      </vt:variant>
      <vt:variant>
        <vt:lpwstr>_Toc469990353</vt:lpwstr>
      </vt:variant>
      <vt:variant>
        <vt:i4>1900599</vt:i4>
      </vt:variant>
      <vt:variant>
        <vt:i4>56</vt:i4>
      </vt:variant>
      <vt:variant>
        <vt:i4>0</vt:i4>
      </vt:variant>
      <vt:variant>
        <vt:i4>5</vt:i4>
      </vt:variant>
      <vt:variant>
        <vt:lpwstr/>
      </vt:variant>
      <vt:variant>
        <vt:lpwstr>_Toc469990352</vt:lpwstr>
      </vt:variant>
      <vt:variant>
        <vt:i4>1900599</vt:i4>
      </vt:variant>
      <vt:variant>
        <vt:i4>50</vt:i4>
      </vt:variant>
      <vt:variant>
        <vt:i4>0</vt:i4>
      </vt:variant>
      <vt:variant>
        <vt:i4>5</vt:i4>
      </vt:variant>
      <vt:variant>
        <vt:lpwstr/>
      </vt:variant>
      <vt:variant>
        <vt:lpwstr>_Toc469990351</vt:lpwstr>
      </vt:variant>
      <vt:variant>
        <vt:i4>1900599</vt:i4>
      </vt:variant>
      <vt:variant>
        <vt:i4>44</vt:i4>
      </vt:variant>
      <vt:variant>
        <vt:i4>0</vt:i4>
      </vt:variant>
      <vt:variant>
        <vt:i4>5</vt:i4>
      </vt:variant>
      <vt:variant>
        <vt:lpwstr/>
      </vt:variant>
      <vt:variant>
        <vt:lpwstr>_Toc469990350</vt:lpwstr>
      </vt:variant>
      <vt:variant>
        <vt:i4>1835063</vt:i4>
      </vt:variant>
      <vt:variant>
        <vt:i4>38</vt:i4>
      </vt:variant>
      <vt:variant>
        <vt:i4>0</vt:i4>
      </vt:variant>
      <vt:variant>
        <vt:i4>5</vt:i4>
      </vt:variant>
      <vt:variant>
        <vt:lpwstr/>
      </vt:variant>
      <vt:variant>
        <vt:lpwstr>_Toc469990349</vt:lpwstr>
      </vt:variant>
      <vt:variant>
        <vt:i4>1835063</vt:i4>
      </vt:variant>
      <vt:variant>
        <vt:i4>32</vt:i4>
      </vt:variant>
      <vt:variant>
        <vt:i4>0</vt:i4>
      </vt:variant>
      <vt:variant>
        <vt:i4>5</vt:i4>
      </vt:variant>
      <vt:variant>
        <vt:lpwstr/>
      </vt:variant>
      <vt:variant>
        <vt:lpwstr>_Toc469990348</vt:lpwstr>
      </vt:variant>
      <vt:variant>
        <vt:i4>1835063</vt:i4>
      </vt:variant>
      <vt:variant>
        <vt:i4>26</vt:i4>
      </vt:variant>
      <vt:variant>
        <vt:i4>0</vt:i4>
      </vt:variant>
      <vt:variant>
        <vt:i4>5</vt:i4>
      </vt:variant>
      <vt:variant>
        <vt:lpwstr/>
      </vt:variant>
      <vt:variant>
        <vt:lpwstr>_Toc469990347</vt:lpwstr>
      </vt:variant>
      <vt:variant>
        <vt:i4>1835063</vt:i4>
      </vt:variant>
      <vt:variant>
        <vt:i4>20</vt:i4>
      </vt:variant>
      <vt:variant>
        <vt:i4>0</vt:i4>
      </vt:variant>
      <vt:variant>
        <vt:i4>5</vt:i4>
      </vt:variant>
      <vt:variant>
        <vt:lpwstr/>
      </vt:variant>
      <vt:variant>
        <vt:lpwstr>_Toc469990346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Customs Decision Business User Information Documents</dc:title>
  <dc:subject>Instructional Design Specifications</dc:subject>
  <dc:creator>Emmanuel Bauwens</dc:creator>
  <cp:lastModifiedBy>Joachim Lucas</cp:lastModifiedBy>
  <cp:revision>23</cp:revision>
  <cp:lastPrinted>2010-08-20T08:44:00Z</cp:lastPrinted>
  <dcterms:created xsi:type="dcterms:W3CDTF">2018-06-01T12:38:00Z</dcterms:created>
  <dcterms:modified xsi:type="dcterms:W3CDTF">2018-11-09T14:26:00Z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ramework">
    <vt:lpwstr>Contract Reference</vt:lpwstr>
  </property>
  <property fmtid="{D5CDD505-2E9C-101B-9397-08002B2CF9AE}" pid="3" name="Status">
    <vt:lpwstr>SfA</vt:lpwstr>
  </property>
  <property fmtid="{D5CDD505-2E9C-101B-9397-08002B2CF9AE}" pid="4" name="Reference">
    <vt:lpwstr>CUSTDEV3-SC06-IDS-InstructionalDesignSpecifications</vt:lpwstr>
  </property>
  <property fmtid="{D5CDD505-2E9C-101B-9397-08002B2CF9AE}" pid="5" name="Version">
    <vt:lpwstr>4.00</vt:lpwstr>
  </property>
  <property fmtid="{D5CDD505-2E9C-101B-9397-08002B2CF9AE}" pid="6" name="Release Date">
    <vt:lpwstr>13/11/2018</vt:lpwstr>
  </property>
  <property fmtid="{D5CDD505-2E9C-101B-9397-08002B2CF9AE}" pid="7" name="Owner">
    <vt:lpwstr>DG TAXUD</vt:lpwstr>
  </property>
  <property fmtid="{D5CDD505-2E9C-101B-9397-08002B2CF9AE}" pid="8" name="ContentTypeId">
    <vt:lpwstr>0x010100673C5A3B01F9B147ACF7DB46E69D3A87</vt:lpwstr>
  </property>
</Properties>
</file>